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header10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1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2.xml" ContentType="application/vnd.openxmlformats-officedocument.wordprocessingml.footer+xml"/>
  <Override PartName="/word/header3.xml" ContentType="application/vnd.openxmlformats-officedocument.wordprocessingml.header+xml"/>
  <Override PartName="/word/footer11.xml" ContentType="application/vnd.openxmlformats-officedocument.wordprocessingml.foot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9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284" w:leader="none"/>
        </w:tabs>
        <w:spacing w:lineRule="auto" w:line="276"/>
        <w:ind w:end="283"/>
        <w:jc w:val="center"/>
        <w:rPr>
          <w:color w:val="auto"/>
        </w:rPr>
      </w:pPr>
      <w:r>
        <w:rPr>
          <w:b/>
          <w:color w:val="auto"/>
        </w:rPr>
        <w:t>ТЕХНИЧЕСКОЕ ЗАДАНИЕ</w:t>
      </w:r>
    </w:p>
    <w:p>
      <w:pPr>
        <w:pStyle w:val="Normal"/>
        <w:spacing w:lineRule="auto" w:line="276" w:before="0" w:after="120"/>
        <w:jc w:val="center"/>
        <w:rPr>
          <w:color w:val="auto"/>
        </w:rPr>
      </w:pPr>
      <w:r>
        <w:rPr>
          <w:color w:val="auto"/>
        </w:rPr>
        <w:t>На оказание услуг (выполнение работ) по содержанию светофорных объектов, расположенных на автомобильных дорогах общего пользования регионального и межмуниципального значения в Самарской области.</w:t>
      </w:r>
    </w:p>
    <w:p>
      <w:pPr>
        <w:pStyle w:val="Normal"/>
        <w:spacing w:lineRule="auto" w:line="276"/>
        <w:jc w:val="center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contextualSpacing/>
        <w:jc w:val="both"/>
        <w:rPr>
          <w:color w:val="auto"/>
        </w:rPr>
      </w:pPr>
      <w:r>
        <w:rPr>
          <w:b/>
          <w:color w:val="auto"/>
        </w:rPr>
        <w:t xml:space="preserve">Цель оказания услуг, выполнения работ: </w:t>
      </w:r>
      <w:r>
        <w:rPr>
          <w:color w:val="auto"/>
        </w:rPr>
        <w:t>повышение безопасности дорожного движения, создание комфортных условий для участников дорожного движения путем оптимального регулирования режима очередности пропуска транспортных средств и пешеходов, мониторинг работы, поддержание в исправном, работоспособном состоянии светофорных объектов, и своевременное устранение дефектов.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contextualSpacing/>
        <w:jc w:val="both"/>
        <w:rPr>
          <w:color w:val="auto"/>
        </w:rPr>
      </w:pPr>
      <w:r>
        <w:rPr>
          <w:b/>
          <w:color w:val="auto"/>
        </w:rPr>
        <w:t>Место выполнения работ:</w:t>
      </w:r>
      <w:r>
        <w:rPr>
          <w:color w:val="auto"/>
        </w:rPr>
        <w:t xml:space="preserve"> места размещения светофорных объектов указаны в </w:t>
      </w:r>
      <w:r>
        <w:rPr>
          <w:color w:val="auto"/>
        </w:rPr>
        <w:t>приложении № 8 к Техническому заданию.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contextualSpacing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/>
        <w:ind w:firstLine="851"/>
        <w:rPr>
          <w:b/>
          <w:color w:val="auto"/>
        </w:rPr>
      </w:pPr>
      <w:r>
        <w:rPr>
          <w:b/>
          <w:color w:val="auto"/>
        </w:rPr>
      </w:r>
    </w:p>
    <w:p>
      <w:pPr>
        <w:pStyle w:val="Normal"/>
        <w:numPr>
          <w:ilvl w:val="0"/>
          <w:numId w:val="1"/>
        </w:numPr>
        <w:spacing w:lineRule="auto" w:line="276"/>
        <w:ind w:firstLine="851" w:start="0"/>
        <w:jc w:val="center"/>
        <w:rPr>
          <w:color w:val="auto"/>
        </w:rPr>
      </w:pPr>
      <w:r>
        <w:rPr>
          <w:b/>
          <w:color w:val="auto"/>
        </w:rPr>
        <w:t>ОБЩИЕ ТРЕБОВАНИЯ К ИСПОЛНИТЕЛЮ.</w:t>
      </w:r>
    </w:p>
    <w:p>
      <w:pPr>
        <w:pStyle w:val="Normal"/>
        <w:widowControl w:val="false"/>
        <w:numPr>
          <w:ilvl w:val="1"/>
          <w:numId w:val="2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/>
        <w:contextualSpacing/>
        <w:jc w:val="both"/>
        <w:rPr>
          <w:color w:val="auto"/>
        </w:rPr>
      </w:pPr>
      <w:r>
        <w:rPr>
          <w:color w:val="auto"/>
        </w:rPr>
        <w:t>1.1. Исполнитель обязан: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color w:val="auto"/>
        </w:rPr>
        <w:tab/>
        <w:t>- обеспечить наличие, надлежащее техническое и эксплуатационное состояние объектов, требуемых для нужд содержания объектов на автомобильной дороге.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color w:val="auto"/>
        </w:rPr>
        <w:tab/>
        <w:t xml:space="preserve"> - организовать предоставление представителям Заказчика информации о состоянии объектов по запросу;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color w:val="auto"/>
        </w:rPr>
        <w:tab/>
        <w:t>- осуществлять контроль состояния светофорных объектов в целях профилактики работы оборудования, а также оперативного устранения выявленных недостатков.</w:t>
      </w:r>
    </w:p>
    <w:p>
      <w:pPr>
        <w:pStyle w:val="ListParagraph"/>
        <w:widowControl w:val="false"/>
        <w:numPr>
          <w:ilvl w:val="1"/>
          <w:numId w:val="9"/>
        </w:numPr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709" w:start="0"/>
        <w:jc w:val="both"/>
        <w:rPr>
          <w:color w:val="auto"/>
        </w:rPr>
      </w:pPr>
      <w:r>
        <w:rPr>
          <w:color w:val="auto"/>
        </w:rPr>
        <w:t>Исполнитель должен обладать необходимыми материально-техническими ресурсами  специализированной техникой и аварийным запасом материалов и оборудования.</w:t>
      </w:r>
    </w:p>
    <w:p>
      <w:pPr>
        <w:pStyle w:val="ListParagraph"/>
        <w:widowControl w:val="false"/>
        <w:numPr>
          <w:ilvl w:val="1"/>
          <w:numId w:val="9"/>
        </w:numPr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709" w:start="0"/>
        <w:jc w:val="both"/>
        <w:rPr>
          <w:color w:val="auto"/>
        </w:rPr>
      </w:pPr>
      <w:r>
        <w:rPr>
          <w:color w:val="auto"/>
        </w:rPr>
        <w:t xml:space="preserve">До начала </w:t>
      </w:r>
      <w:r>
        <w:rPr>
          <w:rFonts w:eastAsia="Calibri"/>
          <w:color w:val="auto"/>
          <w:szCs w:val="24"/>
        </w:rPr>
        <w:t xml:space="preserve">оказания услуг по содержанию светофорного объекта, </w:t>
      </w:r>
      <w:r>
        <w:rPr>
          <w:rFonts w:eastAsia="Calibri"/>
          <w:color w:val="auto"/>
        </w:rPr>
        <w:t xml:space="preserve">выполнения </w:t>
      </w:r>
      <w:r>
        <w:rPr>
          <w:color w:val="auto"/>
          <w:szCs w:val="24"/>
        </w:rPr>
        <w:t xml:space="preserve">аварийно-восстановительных </w:t>
      </w:r>
      <w:r>
        <w:rPr>
          <w:color w:val="auto"/>
        </w:rPr>
        <w:t>р</w:t>
      </w:r>
      <w:r>
        <w:rPr>
          <w:rFonts w:eastAsia="Calibri"/>
          <w:color w:val="auto"/>
        </w:rPr>
        <w:t xml:space="preserve">абот, </w:t>
      </w:r>
      <w:r>
        <w:rPr>
          <w:color w:val="auto"/>
        </w:rPr>
        <w:t xml:space="preserve">Исполнитель обязан представить Заказчику утвержденные и согласованные с Управлением Госавтоинспекции ГУ МВД России по Самарской области схемы организации дорожного движения и ограждения мест выполнения работ. При оказании услуг, выполнении работ, утвержденная и согласованная схема организации движения и ограждения мест производства работ должна находиться непосредственно на объекте. </w:t>
      </w:r>
    </w:p>
    <w:p>
      <w:pPr>
        <w:pStyle w:val="ListParagraph"/>
        <w:widowControl w:val="false"/>
        <w:numPr>
          <w:ilvl w:val="1"/>
          <w:numId w:val="9"/>
        </w:numPr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709" w:start="0"/>
        <w:jc w:val="both"/>
        <w:rPr>
          <w:color w:val="auto"/>
        </w:rPr>
      </w:pPr>
      <w:r>
        <w:rPr>
          <w:color w:val="auto"/>
        </w:rPr>
        <w:t>Исполнитель при оказании услуг (выполнении работ) должен иметь полный комплект дорожных знаков и технических средств регулирования движения и обеспечивать их установку и переустановку в точном соответствии с утвержденной схемой организации движения и ограждения мест производства работ. Знаки должны соответствовать требованиям ГОСТ 32945-2014.</w:t>
      </w:r>
    </w:p>
    <w:p>
      <w:pPr>
        <w:pStyle w:val="Normal"/>
        <w:widowControl w:val="false"/>
        <w:numPr>
          <w:ilvl w:val="1"/>
          <w:numId w:val="9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709" w:start="0"/>
        <w:contextualSpacing/>
        <w:jc w:val="both"/>
        <w:rPr>
          <w:color w:val="auto"/>
        </w:rPr>
      </w:pPr>
      <w:r>
        <w:rPr>
          <w:color w:val="auto"/>
        </w:rPr>
        <w:t xml:space="preserve">Исполнителем ведется вся первичная исполнительная документация при выполнении работ в соответствии с требованиями нормативных документов. Все факты оказания услуг и выполнения аварийно-восстановительных работ по техническому обслуживанию каждого объекта должны фиксироваться в общем журнале производства работ, который ведется в электронном виде. Выявленные представителями Исполнителя и Заказчика в период действия договора дефекты светофорных объектов, а также сроки и методы их устранения должны быть указаны в журнале регистрации дефектов по форме, указанной в </w:t>
      </w:r>
      <w:r>
        <w:rPr>
          <w:color w:val="auto"/>
        </w:rPr>
        <w:t>приложении №6</w:t>
      </w:r>
      <w:r>
        <w:rPr>
          <w:color w:val="auto"/>
        </w:rPr>
        <w:t xml:space="preserve"> </w:t>
      </w:r>
      <w:r>
        <w:rPr>
          <w:color w:val="auto"/>
        </w:rPr>
        <w:t>к Техническому заданию</w:t>
      </w:r>
      <w:r>
        <w:rPr>
          <w:color w:val="auto"/>
        </w:rPr>
        <w:t>, который ведется в бумажном и электронном виде с возможностью удаленного редактирования. Доступ к электронной версии журнала регистрации дефектов в том числе предоставляется Заказчику.</w:t>
      </w:r>
      <w:r>
        <w:rPr>
          <w:rFonts w:eastAsia="Calibri"/>
          <w:color w:val="auto"/>
          <w:szCs w:val="24"/>
        </w:rPr>
        <w:t xml:space="preserve"> Исполнитель предоставляет исполнительную документацию ежемесячно одновременно с Актом сдачи-приемки оказанных Услуг/выполненных Работ.</w:t>
      </w:r>
    </w:p>
    <w:p>
      <w:pPr>
        <w:pStyle w:val="Normal"/>
        <w:widowControl w:val="false"/>
        <w:numPr>
          <w:ilvl w:val="1"/>
          <w:numId w:val="9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709" w:start="0"/>
        <w:contextualSpacing/>
        <w:jc w:val="both"/>
        <w:rPr>
          <w:color w:val="auto"/>
        </w:rPr>
      </w:pPr>
      <w:r>
        <w:rPr>
          <w:color w:val="auto"/>
        </w:rPr>
        <w:t>Оказанные услуги (выполненные работы) должны соответствовать требованиям законодательства Российской Федерации.</w:t>
      </w:r>
    </w:p>
    <w:p>
      <w:pPr>
        <w:pStyle w:val="Normal"/>
        <w:spacing w:lineRule="auto" w:line="276"/>
        <w:ind w:firstLine="708"/>
        <w:rPr>
          <w:color w:val="auto"/>
        </w:rPr>
      </w:pPr>
      <w:r>
        <w:rPr>
          <w:color w:val="auto"/>
        </w:rPr>
        <w:t>Указанные в настоящем разделе требования являются существенными и в целях исполнения Договора.</w:t>
      </w:r>
    </w:p>
    <w:p>
      <w:pPr>
        <w:pStyle w:val="Normal"/>
        <w:spacing w:lineRule="auto" w:line="276"/>
        <w:ind w:firstLine="851"/>
        <w:jc w:val="center"/>
        <w:rPr>
          <w:b/>
          <w:color w:val="auto"/>
        </w:rPr>
      </w:pPr>
      <w:r>
        <w:rPr>
          <w:b/>
          <w:color w:val="auto"/>
        </w:rPr>
      </w:r>
    </w:p>
    <w:p>
      <w:pPr>
        <w:pStyle w:val="Normal"/>
        <w:numPr>
          <w:ilvl w:val="0"/>
          <w:numId w:val="1"/>
        </w:numPr>
        <w:spacing w:lineRule="auto" w:line="276"/>
        <w:ind w:firstLine="851" w:start="0"/>
        <w:jc w:val="center"/>
        <w:rPr>
          <w:color w:val="auto"/>
        </w:rPr>
      </w:pPr>
      <w:r>
        <w:rPr>
          <w:b/>
          <w:color w:val="auto"/>
        </w:rPr>
        <w:t>ТРЕБОВАНИЯ К ОКАЗАНИЮ УСЛУГ (ВЫПОЛНЕНИЮ РАБОТ).</w:t>
      </w:r>
    </w:p>
    <w:p>
      <w:pPr>
        <w:pStyle w:val="Normal"/>
        <w:spacing w:lineRule="auto" w:line="276"/>
        <w:ind w:firstLine="851"/>
        <w:rPr>
          <w:b/>
          <w:color w:val="auto"/>
        </w:rPr>
      </w:pPr>
      <w:r>
        <w:rPr>
          <w:b/>
          <w:color w:val="auto"/>
        </w:rPr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>Настоящее техническое задание устанавливает совокупность организационных и технических требований, обеспечивающих долговечность и постоянную работу светофорных объектов и иного оборудования в исправном состоянии в течение расчетного срока службы.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Услуги должны быть оказаны, работы</w:t>
      </w:r>
      <w:r>
        <w:rPr>
          <w:rFonts w:eastAsia="Calibri"/>
          <w:color w:val="auto"/>
        </w:rPr>
        <w:t xml:space="preserve"> </w:t>
      </w:r>
      <w:r>
        <w:rPr>
          <w:color w:val="auto"/>
        </w:rPr>
        <w:t>должны быть выполнены в соответствии с настоящим техническим заданием, с соблюдением правил техники безопасности, противопожарными, санитарно-гигиеническими и экологическими нормами и правилами.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В соответствии с настоящим техническим заданием Исполнитель должен оказывать услуги, выполнять работы, указанные в</w:t>
      </w:r>
      <w:r>
        <w:rPr>
          <w:color w:val="auto"/>
        </w:rPr>
        <w:t xml:space="preserve"> приложении № 1 к техническому заданию</w:t>
      </w:r>
      <w:r>
        <w:rPr>
          <w:color w:val="auto"/>
        </w:rPr>
        <w:t>, с использованием при необходимости материалов и оборудования</w:t>
      </w:r>
      <w:r>
        <w:rPr>
          <w:color w:val="auto"/>
        </w:rPr>
        <w:t xml:space="preserve">, </w:t>
      </w:r>
      <w:r>
        <w:rPr>
          <w:color w:val="auto"/>
        </w:rPr>
        <w:t>указанные в</w:t>
      </w:r>
      <w:r>
        <w:rPr>
          <w:color w:val="auto"/>
        </w:rPr>
        <w:t xml:space="preserve"> приложении № 2 к техническому заданию.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 xml:space="preserve">Услуги по техническому обслуживанию оборудования, входящего в состав светофорных объектов, выполняются не менее 1 раза в месяц, </w:t>
      </w:r>
      <w:r>
        <w:rPr>
          <w:rFonts w:eastAsia="Calibri"/>
          <w:color w:val="auto"/>
          <w:szCs w:val="24"/>
        </w:rPr>
        <w:t>так</w:t>
      </w:r>
      <w:r>
        <w:rPr>
          <w:color w:val="auto"/>
        </w:rPr>
        <w:t xml:space="preserve"> и </w:t>
      </w:r>
      <w:r>
        <w:rPr>
          <w:rFonts w:eastAsia="Calibri"/>
          <w:color w:val="auto"/>
          <w:szCs w:val="24"/>
        </w:rPr>
        <w:t>на основе заявок, поступающих от Заказчика, которые оформляются посредством общепринятых средств коммуникации и прикладываются к ежемесячному отчету выполненных работ, и включает</w:t>
      </w:r>
      <w:r>
        <w:rPr>
          <w:color w:val="auto"/>
        </w:rPr>
        <w:t xml:space="preserve"> в себя:</w:t>
      </w:r>
    </w:p>
    <w:p>
      <w:pPr>
        <w:pStyle w:val="Normal"/>
        <w:widowControl w:val="false"/>
        <w:numPr>
          <w:ilvl w:val="2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 w:start="0"/>
        <w:contextualSpacing/>
        <w:jc w:val="both"/>
        <w:rPr>
          <w:color w:val="auto"/>
        </w:rPr>
      </w:pPr>
      <w:r>
        <w:rPr>
          <w:color w:val="auto"/>
        </w:rPr>
        <w:t>Техническое обслуживание светофора, знака переменной информации 5.15.2, знака светодиодного 5.19.1/2, информационной световой секции, пешеходного вызывного устройства, устройства звукового сопровождения пешеходов:</w:t>
      </w:r>
    </w:p>
    <w:p>
      <w:pPr>
        <w:pStyle w:val="ListParagraph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851" w:start="0"/>
        <w:jc w:val="both"/>
        <w:rPr>
          <w:color w:val="auto"/>
        </w:rPr>
      </w:pPr>
      <w:r>
        <w:rPr>
          <w:color w:val="auto"/>
        </w:rPr>
        <w:t>- осмотр, очистка от загрязнений, надписей, рекламы, снега, мусора, в том числе креплений. Мойка в летний период;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осмотр кабельных линий;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очистка от загрязнений клеммных коробок, проверка герметичности вводов, замена сальников при необходимости;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проверка плотности соединений кабельных линий, распайка и зачистка контактов кабеля, обработка разъемов аэрозольным очистителем контактов;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протяжка и переопрессовка кабелей штыревыми наконечниками при необходимости;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устранение провисов кабелей над проезжей частью ниже 5 метров, в том числе с заменой крепежных элементов при необходимости;</w:t>
      </w:r>
    </w:p>
    <w:p>
      <w:pPr>
        <w:pStyle w:val="ListParagraph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851" w:start="0"/>
        <w:jc w:val="both"/>
        <w:rPr>
          <w:color w:val="auto"/>
        </w:rPr>
      </w:pPr>
      <w:r>
        <w:rPr>
          <w:color w:val="auto"/>
        </w:rPr>
        <w:t>- протяжка крепежных элементов, в том числе консоли. Восстановление положения оборудования и консолей при необходимости;</w:t>
      </w:r>
    </w:p>
    <w:p>
      <w:pPr>
        <w:pStyle w:val="ListParagraph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851" w:start="0"/>
        <w:jc w:val="both"/>
        <w:rPr>
          <w:color w:val="auto"/>
        </w:rPr>
      </w:pPr>
      <w:r>
        <w:rPr>
          <w:color w:val="auto"/>
        </w:rPr>
        <w:t>- демонтаж и нанесение маски на светоблок (при необходимости);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проверка герметичности вводов, уплотнителей. Обработка силиконовой смазкой и замена уплотнителей при необходимости;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проверка плотности соединения кабельных линий в разъемах, механической целостности корпусов оборудования, зачистка контактов, обработка разъемов аэрозольным очистителем контактов;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зачехление и расчехление оборудования (по заданию Заказчика);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устранение мелких неисправностей при необходимости.</w:t>
      </w:r>
    </w:p>
    <w:p>
      <w:pPr>
        <w:pStyle w:val="Normal"/>
        <w:widowControl w:val="false"/>
        <w:numPr>
          <w:ilvl w:val="2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 w:start="0"/>
        <w:contextualSpacing/>
        <w:jc w:val="both"/>
        <w:rPr>
          <w:color w:val="auto"/>
        </w:rPr>
      </w:pPr>
      <w:r>
        <w:rPr>
          <w:color w:val="auto"/>
        </w:rPr>
        <w:t xml:space="preserve">Техническое обслуживание светофорной опоры, опоры рамной металлической </w:t>
        <w:br/>
        <w:t>П-образной: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осмотр, очистка от загрязнений, надписей, рекламы, снега, мусора. Мойка в летний период, обработка опор антикоррозийными составами при обнаружении коррозии;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- выравнивание опоры (восстановление вертикального положения) без необходимости замены, корректировка положения информационной таблички;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 xml:space="preserve">- восстановление утраченных конструктивных элементов светофорной опоры, креплений информационной таблички в процессе эксплуатации. 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При оказании услуг, выполнении работ Исполнитель должен обеспечивать объекты материалами, изделиями, и оборудованием по мере необходимости. Все передаваемые Исполнителем изделия, материалы и оборудование должны иметь соответствующие сертификаты, технические паспорта или другие документы, удостоверяющие их качество.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 xml:space="preserve">Гарантии качества распространяются на все Исполнителем аварийно-восстановительные работы, связанные с заменой оборудования, элементов и деталей, а также на используемые при этом материалы. Гарантийный срок на выполненные работы и примененные при этом оборудование, изделия и материалы составляет 2 года с даты подписания Заказчиком документа о приемке. 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>Если в период эксплуатации объектов обнаружатся дефекты, препятствующие их эксплуатации, то Исполнитель обязан их устранить за свой счет в сроки, предусмотренные нормативными документами, либо установленные Заказчиком.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 xml:space="preserve">Контроль качества содержания светофорных объектов осуществляется работниками из числа инженерно-технического персонала Исполнителя, а также путем регулярных проверок (не реже 1 раза в месяц), проводимых специалистами Заказчика, с учетом требований, указанных в </w:t>
      </w:r>
      <w:r>
        <w:rPr>
          <w:color w:val="auto"/>
        </w:rPr>
        <w:t>приложении № 3 к Техническому заданию</w:t>
      </w:r>
      <w:r>
        <w:rPr>
          <w:color w:val="auto"/>
        </w:rPr>
        <w:t>. Контроль качества используемых материалов осуществляется Исполнителем. Заказчику предоставляются акты испытаний материалов и сертификаты качества (при необходимости экологической сертификации).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Все используемые материалы и применяемое оборудование должны соответствовать требованиям Технического регламента Таможенного союза ТР ТС 014/2011 «Безопасность автомобильных дорог», ГОСТ и другой действующей нормативной документации.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Содержание светофорных объектов должно гарантировать их непрерывное функционирование в полностью работоспособном состоянии, которое включает в себя, в том числе: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567"/>
        <w:jc w:val="both"/>
        <w:rPr>
          <w:color w:val="auto"/>
        </w:rPr>
      </w:pPr>
      <w:r>
        <w:rPr>
          <w:color w:val="auto"/>
        </w:rPr>
        <w:t>- техническую работоспособность оборудования;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567"/>
        <w:jc w:val="both"/>
        <w:rPr>
          <w:color w:val="auto"/>
        </w:rPr>
      </w:pPr>
      <w:r>
        <w:rPr>
          <w:color w:val="auto"/>
        </w:rPr>
        <w:t>- наличие его постоянного электропитания от источников электроэнергии. Граница зоны ответственности Исполнителя по электропитанию определяется от нижних контактов  автоматического выключателя, установленного в трансформаторной подстанции, распределительного шкафа или иной точке подключения, до оборудования светофорного объекта;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567"/>
        <w:jc w:val="both"/>
        <w:rPr>
          <w:color w:val="auto"/>
        </w:rPr>
      </w:pPr>
      <w:r>
        <w:rPr>
          <w:color w:val="auto"/>
        </w:rPr>
        <w:t>- целостность и нормативное расположение кабельного хозяйства и линий электроснабжения;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ind w:firstLine="567"/>
        <w:jc w:val="both"/>
        <w:rPr>
          <w:color w:val="auto"/>
        </w:rPr>
      </w:pPr>
      <w:r>
        <w:rPr>
          <w:color w:val="auto"/>
        </w:rPr>
        <w:t>- взаимодействие компонентов оборудования всех уровней между собой с максимальным использованием стандартизованных процедур в границах зоны ответственности Исполнителя.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Безопасность выполнения работ в электроустановках должна оказываться в строгом соответствии с Правилами техники безопасности при эксплуатации электроустановок.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Ответственность за безопасность при оказании услуг (выполнении работ) по содержанию светофорных объектов несет Исполнитель.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 xml:space="preserve">Содержание должно обеспечивать непрерывное функционирование светофорных объектов. В процессе эксплуатации техническое состояние светофоров и оборудования должно отвечать требованиям ГОСТ Р 50597-2017, ГОСТ Р 59105-2020. 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Услуги по содержанию, аварийно-восстановительные работы не должны приводить к ухудшению взаимодействия оборудования между собой с максимальным использованием стандартизованных процедур и протоколов.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Услуги по содержанию, аварийно-восстановительные работы должны обеспечивать сохранение работоспособности оборудования и системы при отказе или выходе из строя по любым причинам одного из компонентов светофорного объекта.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rFonts w:eastAsia="Calibri"/>
          <w:color w:val="auto"/>
        </w:rPr>
        <w:t xml:space="preserve">Работы по содержанию должны обеспечивать сохранение работоспособности оборудования и системы при отказе или выходе из строя по любым причинам одного из компонентов </w:t>
      </w:r>
      <w:r>
        <w:rPr>
          <w:rFonts w:eastAsia="Calibri"/>
          <w:color w:val="auto"/>
          <w:szCs w:val="24"/>
        </w:rPr>
        <w:t>светофорного объекта.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 xml:space="preserve">Работы по устранению непредвиденных отказов оборудования выполняются по мере необходимости в сроки, указанные в </w:t>
      </w:r>
      <w:r>
        <w:rPr>
          <w:color w:val="auto"/>
        </w:rPr>
        <w:t>Приложении №3 Техническому заданию</w:t>
      </w:r>
      <w:r>
        <w:rPr>
          <w:color w:val="auto"/>
        </w:rPr>
        <w:t>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В случае необходимости при ремонте выполнить замену отдельных элементов необходимо использовать материалы и оборудование, аналогичные ранее установленному или с лучшими техническими характеристиками, позволяющее обеспечить установленный режим работы объекта.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Исполнитель проводит также текущий ремонт кабельного хозяйства и линий электроснабжения объектов, устранение провисов на линиях.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При получении от уполномоченного представителя Заказчика вызова для устранения неисправностей на объекте представитель Исполнителя прибывает на объект в кратчайший срок.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Исполнитель несет ответственность за качество и сроки выполняемых работ соисполнителем по содержанию, техническому обслуживанию и ремонту оборудования.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 xml:space="preserve">Расчеты за выполненные работы могут быть скорректированы с учетом Понижающего коэффициента на основании достигнутого уровня содержания </w:t>
      </w:r>
      <w:r>
        <w:rPr>
          <w:color w:val="auto"/>
        </w:rPr>
        <w:t>(Приложение № 4 к Техническому заданию)</w:t>
      </w:r>
      <w:r>
        <w:rPr>
          <w:color w:val="auto"/>
        </w:rPr>
        <w:t xml:space="preserve">, в соответствии с </w:t>
      </w:r>
      <w:r>
        <w:rPr>
          <w:color w:val="auto"/>
        </w:rPr>
        <w:t>Приложением № 3 к Техническому заданию</w:t>
      </w:r>
      <w:r>
        <w:rPr>
          <w:color w:val="auto"/>
        </w:rPr>
        <w:t xml:space="preserve">. Оценка уровня содержания за отчетный период указывается в акте, по форме </w:t>
      </w:r>
      <w:r>
        <w:rPr>
          <w:color w:val="auto"/>
        </w:rPr>
        <w:t>Приложения №5 к Техническому заданию</w:t>
      </w:r>
      <w:r>
        <w:rPr>
          <w:color w:val="auto"/>
        </w:rPr>
        <w:t>. В отношении работ по ремонту оборудования понижающий коэффициент не применяется.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Отчетный период по договору принимается равным 1 календарному месяцу.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Оплата за техническое обслуживание (содержание) 1 единицы оборудования производится однократно за отчетный период вне зависимости от фактического числа выполненных работ по техническому обслуживанию.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bookmarkStart w:id="0" w:name="_Hlk190343073"/>
      <w:r>
        <w:rPr>
          <w:color w:val="auto"/>
        </w:rPr>
        <w:t>Заказчик вправе в случае выявления дефектов, нарушения сроков устранения дефектов, не соответствия применяемой техники и материально - технических ресурсов требованиям настоящего Договора, ГОСТ Р 50597-2017 «Национальный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контроля», отраслевому дорожному методическому документу «Методические рекомендации по ремонту и содержанию автомобильных дорог общего пользования» вносить в Журнал производства работ, направлять в письменной форме, а также посредством специализированного чат-бота предписания, обязательные для исполнения Исполнителем.</w:t>
      </w:r>
      <w:bookmarkEnd w:id="0"/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756" w:leader="none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 xml:space="preserve">Исполнитель обязан выполнять работы по ремонту оборудования в рамках выполнения технических требований предъявляемых к установленному оборудованию в рамках выполнения работ в сроки, установленные требованиями ГОСТ Р 50597-2017 «Национальный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 и </w:t>
      </w:r>
      <w:r>
        <w:rPr>
          <w:color w:val="auto"/>
        </w:rPr>
        <w:t>Приложения № 3 к Техническому заданию</w:t>
      </w:r>
      <w:r>
        <w:rPr>
          <w:color w:val="auto"/>
        </w:rPr>
        <w:t>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756" w:leader="none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Светофорные объекты, в отношении которых оказывает услуги/выполняет работы Исполнитель, подключены к Интеллектуальной транспортной системе Самарской области, предусматривающей автоматизацию процессов управления дорожным движением в Самарско-Тольяттинской агломерации (далее – ИТС). Применяемое при оказании услуг/выполнении работ оборудование, должно быть совместимо с ИТС и должно поддерживать интеграцию с программным обеспечением Интеллектуальной транспортной системы Министерства транспорта и автомобильных дорог Самарской области (Приложение №7 к Техническому заданию) без необходимости доработок.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756" w:leader="none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Исполнитель своими силами и за свой счет обеспечивает пополняемый (при его снижении более 50 % от установленного настоящим пунктом размера) подменный фонд оборудования и материалов в размере 2% (двух процентов) от общего количества обслуживаемого оборудования в целях соблюдения сроков выполнения работ, установленных в Приложении №3 к настоящему Техническому заданию.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756" w:leader="none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В случае, если срок аварийно-восстановительных работ превышает срок, установленный в Приложении №3 к Техническому заданию, Исполнитель не позднее последнего дня срока устранения неисправностей (Приложение №3 к Техническому заданию, допустимый уровень) устанавливает оборудование и материалы из подменного фонда на период ремонта (замены) соответствующего оборудования. Исполнитель осуществляет отправку оборудования в ремонт за свой счет. Срок предоставления оборудования и материалов продолжается до момента получения Исполнителем заменённого (отремонтированного) оборудования. Все расходы по доставке и замене оборудования на оборудование из подменного фонда и все расходы по возвращению оборудования в подменный фонд, несет Исполнитель.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756" w:leader="none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При выполнении работ по заявке Заказчика, технические решения по прокладке новых линий электроснабжения светофорных объектов Исполнитель должен согласовать с Заказчиком. Исполнитель должен получить согласования технических решений на размещение конструкций на отдельных элементах зданий (сооружений), прокладку кабельных трас, подключение к сетям электропитания от собственников помещений (зданий). Исполнитель за счет собственных средств должен получить согласования технических решений на подключение к электропитанию светофорных объектов у электросетевых организаций. Исполнитель принимает на себя обязательство обеспечить оформление технологического присоединения к сети материалами, необходимыми для создания выполнения действий в соответствии с требованиями Технического задания.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756" w:leader="none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rFonts w:eastAsia="Calibri"/>
          <w:color w:val="auto"/>
          <w:szCs w:val="24"/>
        </w:rPr>
        <w:t xml:space="preserve">Действия Исполнителя при оформлении технологического присоединения к электрической сети: </w:t>
      </w:r>
    </w:p>
    <w:p>
      <w:pPr>
        <w:pStyle w:val="ListParagraph"/>
        <w:widowControl w:val="false"/>
        <w:numPr>
          <w:ilvl w:val="0"/>
          <w:numId w:val="10"/>
        </w:numPr>
        <w:tabs>
          <w:tab w:val="clear" w:pos="708"/>
          <w:tab w:val="left" w:pos="756" w:leader="none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rFonts w:eastAsia="Calibri"/>
          <w:color w:val="auto"/>
          <w:szCs w:val="24"/>
        </w:rPr>
        <w:t xml:space="preserve">Выполнить обследование адреса размещения и электроснабжения оборудования. При наличии внешних источников подключения выполнить следующие действия:  </w:t>
      </w:r>
    </w:p>
    <w:p>
      <w:pPr>
        <w:pStyle w:val="ListParagraph"/>
        <w:widowControl w:val="false"/>
        <w:numPr>
          <w:ilvl w:val="0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По адресу размещения оборудования определить потенциального собственника сети (предпочтение - официальные Сетевые компании);</w:t>
      </w:r>
    </w:p>
    <w:p>
      <w:pPr>
        <w:pStyle w:val="ListParagraph"/>
        <w:widowControl w:val="false"/>
        <w:numPr>
          <w:ilvl w:val="0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Подготовить и передать заявку в сетевую компанию на технологическое присоединение (стандартный бланк на сайте сетевой компании);</w:t>
      </w:r>
    </w:p>
    <w:p>
      <w:pPr>
        <w:pStyle w:val="ListParagraph"/>
        <w:widowControl w:val="false"/>
        <w:numPr>
          <w:ilvl w:val="0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Получить в сетевой компании Договор на технологическое присоединение, технические условия и счет за технологическое присоединение. Оплата счета за технологическое присоединение осуществляется Исполнителем;</w:t>
      </w:r>
    </w:p>
    <w:p>
      <w:pPr>
        <w:pStyle w:val="ListParagraph"/>
        <w:widowControl w:val="false"/>
        <w:numPr>
          <w:ilvl w:val="0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По полученным ТУ выполнить технологическое присоединение к электрическим сетям;</w:t>
      </w:r>
    </w:p>
    <w:p>
      <w:pPr>
        <w:pStyle w:val="ListParagraph"/>
        <w:widowControl w:val="false"/>
        <w:numPr>
          <w:ilvl w:val="0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Произвести замер сопротивления изоляции.</w:t>
      </w:r>
    </w:p>
    <w:p>
      <w:pPr>
        <w:pStyle w:val="ListParagraph"/>
        <w:widowControl w:val="false"/>
        <w:numPr>
          <w:ilvl w:val="0"/>
          <w:numId w:val="10"/>
        </w:numPr>
        <w:tabs>
          <w:tab w:val="clear" w:pos="708"/>
          <w:tab w:val="left" w:pos="851" w:leader="none"/>
          <w:tab w:val="left" w:pos="1134" w:leader="none"/>
        </w:tabs>
        <w:spacing w:lineRule="auto" w:line="276"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Общий срок выполнения работ/оказания услуг по п.2.30-2.31 не должен превышать 14 (четырнадцать) календарных дней.</w:t>
      </w:r>
    </w:p>
    <w:p>
      <w:pPr>
        <w:pStyle w:val="ListParagraph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/>
        <w:ind w:start="1287"/>
        <w:jc w:val="both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Cs w:val="24"/>
        </w:rPr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68" w:leader="none"/>
          <w:tab w:val="left" w:pos="756" w:leader="none"/>
          <w:tab w:val="left" w:pos="851" w:leader="none"/>
          <w:tab w:val="left" w:pos="1134" w:leader="none"/>
        </w:tabs>
        <w:spacing w:lineRule="auto" w:line="276"/>
        <w:ind w:firstLine="567" w:start="0"/>
        <w:jc w:val="both"/>
        <w:rPr>
          <w:color w:val="auto"/>
        </w:rPr>
      </w:pPr>
      <w:r>
        <w:rPr>
          <w:rFonts w:eastAsia="Calibri"/>
          <w:color w:val="auto"/>
          <w:szCs w:val="24"/>
        </w:rPr>
        <w:t>Указанные в п. 2.30-2.31 настоящего Технического задания требования являются существенными и в целях исполнения Договора.</w:t>
      </w:r>
    </w:p>
    <w:p>
      <w:pPr>
        <w:pStyle w:val="Normal"/>
        <w:widowControl w:val="false"/>
        <w:numPr>
          <w:ilvl w:val="1"/>
          <w:numId w:val="3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567" w:start="0"/>
        <w:contextualSpacing/>
        <w:jc w:val="both"/>
        <w:rPr>
          <w:color w:val="auto"/>
        </w:rPr>
      </w:pPr>
      <w:r>
        <w:rPr>
          <w:color w:val="auto"/>
        </w:rPr>
        <w:t>В рамках реализации настоящего технического задания в целях мониторинга работоспособности и устранения сбоев в работе оборудования Исполнитель обязан организовать удаленный доступ в соответствии с техническими условиями, предоставляемыми Заказчиком. Затраты на организацию удаленного доступа, в том числе приобретение программного обеспечения, оборудования и организация канала связи, возлагаются на Исполнителя и не возмещаются Заказчиком. Обеспечение информационной безопасности и ответственность за ее нарушение возлагается на Исполнителя в соответствии с действующим законодательством.</w:t>
      </w:r>
    </w:p>
    <w:p>
      <w:pPr>
        <w:pStyle w:val="Normal"/>
        <w:numPr>
          <w:ilvl w:val="0"/>
          <w:numId w:val="1"/>
        </w:numPr>
        <w:spacing w:lineRule="auto" w:line="276"/>
        <w:jc w:val="center"/>
        <w:rPr>
          <w:color w:val="auto"/>
        </w:rPr>
      </w:pPr>
      <w:r>
        <w:rPr>
          <w:b/>
          <w:color w:val="auto"/>
        </w:rPr>
        <w:t>Нормативные требования</w:t>
      </w:r>
    </w:p>
    <w:p>
      <w:pPr>
        <w:pStyle w:val="Normal"/>
        <w:widowControl w:val="false"/>
        <w:numPr>
          <w:ilvl w:val="1"/>
          <w:numId w:val="4"/>
        </w:numPr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При выполнении работ необходимо руководствоваться следующими нормативными документами: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ГОСТ 12.4.281-2014. «Система стандартов безопасности труда. Одежда специальная повышенной видимости. Технические требования»;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ГОСТ 12.4.252-2013 «Система стандартов безопасности труда (ССБТ). Средства индивидуальной защиты рук. Перчатки. Общие технические требования. Методы испытаний (с Поправкой)»;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 xml:space="preserve">ГОСТ Р 59105-2020 «Дороги автомобильные общего пользования. Автоматизированные системы управления дорожным движением, метеообеспечения, пункты весового и габаритного контроля. Технические правила содержания»; 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ГОСТ Р 59103-2020 Дороги автомобильные общего пользования. Светофорные объекты. Технические правила содержания;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СП 76.13330.2016 «Электротехнические устройства»;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Приказ Минтруда России от 16.11.2020 № 782н «Об утверждении правил по охране труда при работе на высоте»;</w:t>
      </w:r>
    </w:p>
    <w:p>
      <w:pPr>
        <w:pStyle w:val="Normal"/>
        <w:widowControl w:val="false"/>
        <w:tabs>
          <w:tab w:val="clear" w:pos="708"/>
          <w:tab w:val="left" w:pos="851" w:leader="none"/>
          <w:tab w:val="left" w:pos="1134" w:leader="none"/>
        </w:tabs>
        <w:spacing w:lineRule="auto" w:line="276" w:before="0" w:after="0"/>
        <w:ind w:firstLine="851"/>
        <w:contextualSpacing/>
        <w:jc w:val="both"/>
        <w:rPr>
          <w:color w:val="auto"/>
        </w:rPr>
      </w:pPr>
      <w:r>
        <w:rPr>
          <w:color w:val="auto"/>
        </w:rPr>
        <w:t>Приказ №903н "Об утверждении правил по охране труда при эксплуатации электроустановок".</w:t>
      </w:r>
    </w:p>
    <w:p>
      <w:pPr>
        <w:pStyle w:val="Normal"/>
        <w:spacing w:lineRule="auto" w:line="276" w:before="0" w:after="200"/>
        <w:rPr>
          <w:color w:val="auto"/>
        </w:rPr>
      </w:pPr>
      <w:r>
        <w:rPr>
          <w:color w:val="auto"/>
        </w:rPr>
      </w:r>
      <w:r>
        <w:br w:type="page"/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  <w:t>Приложение №1 к Техническому заданию</w:t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center"/>
        <w:rPr>
          <w:color w:val="auto"/>
        </w:rPr>
      </w:pPr>
      <w:r>
        <w:rPr>
          <w:color w:val="auto"/>
        </w:rPr>
        <w:t>Виды оказываемых услуг (выполняемых работ)</w:t>
      </w:r>
    </w:p>
    <w:tbl>
      <w:tblPr>
        <w:tblW w:w="9622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503"/>
        <w:gridCol w:w="1098"/>
        <w:gridCol w:w="7437"/>
        <w:gridCol w:w="583"/>
      </w:tblGrid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№ </w:t>
            </w:r>
            <w:r>
              <w:rPr>
                <w:color w:val="auto"/>
                <w:szCs w:val="24"/>
              </w:rPr>
              <w:t>п/п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№ </w:t>
            </w:r>
            <w:r>
              <w:rPr>
                <w:color w:val="auto"/>
                <w:szCs w:val="24"/>
              </w:rPr>
              <w:t>п/п по гос. контракту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Наименование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 изм.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</w:t>
            </w:r>
          </w:p>
        </w:tc>
        <w:tc>
          <w:tcPr>
            <w:tcW w:w="743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</w:t>
            </w:r>
          </w:p>
        </w:tc>
        <w:tc>
          <w:tcPr>
            <w:tcW w:w="583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</w:t>
            </w:r>
          </w:p>
        </w:tc>
      </w:tr>
      <w:tr>
        <w:trPr>
          <w:trHeight w:val="20" w:hRule="atLeast"/>
        </w:trPr>
        <w:tc>
          <w:tcPr>
            <w:tcW w:w="9621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b/>
                <w:bCs/>
                <w:i/>
                <w:iCs/>
                <w:color w:val="auto"/>
                <w:szCs w:val="24"/>
                <w:u w:val="single"/>
              </w:rPr>
              <w:t>I. Виды услуг (работ) по содержанию светофорных объектов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Техническое обслуживание светофора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Техническое обслуживание светофорной опоры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Техническое обслуживание опоры рамной металлической П-образной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Техническое обслуживание информационной световой секции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Техническое обслуживание пешеходного вызывного устройства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8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Техническое обслуживание знака переменной информации 5.15.2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7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Техническое обслуживание знака светодиодного 5.19.1/5.19.2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10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Техническое обслуживание устройства звукового сопровождения пешеходов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9621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b/>
                <w:bCs/>
                <w:i/>
                <w:iCs/>
                <w:color w:val="auto"/>
                <w:szCs w:val="24"/>
                <w:u w:val="single"/>
              </w:rPr>
              <w:t>II. Виды ремонтных и иных работ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13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Демонтаж кабеля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14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опоры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15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выносной консоли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16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светофора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17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светоблока светодиодного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18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дополнительной секции светофора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7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19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табло обратного отсчета времени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20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пешеходного вызывного устройства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21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экрана светофора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22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знака переменной информации 5.15.2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11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24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знака светодиодного 5.19.1/5.19.2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12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25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Демонтаж знака светодиодного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13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26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коробки клеммной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14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30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информационных световых секций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15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31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коммутатора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16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32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SFP-модуля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17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33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блока питания медиаконвертера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18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34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медиаконвертера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19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35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Демонтаж повторителя сигнала светофора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20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36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Прокладка и подключение кабеля по конструкции в трубе гофрированной ПНД 25 мм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21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37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Прокладка и подключение кабеля в теле опоры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22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38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и подключение кабеля методом подвеса на тросу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23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39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и подключение провода методом подвеса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24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41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Прокладка и подключение оптического кабеля по конструкции в трубе гофрированной ПНД 25 мм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25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42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Прокладка и подключение оптического кабеля в теле опоры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26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43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и подключение оптического кабеля методом подвеса на тросу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27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44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и подключение оптического провода методом подвеса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28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46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опоры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29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47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Установка закладной детали:</w:t>
              <w:br/>
              <w:t>1. Разработка грунта;</w:t>
              <w:br/>
              <w:t>2. Устройство щебеночной подушки h=200 мм, щебень фракции 20-40 мм, марки М600;</w:t>
              <w:br/>
              <w:t>3. Монтаж закладной;</w:t>
              <w:br/>
              <w:t>4. Бетонирование закладной, бетон тяжелый класса не менее В20 F200 W6.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30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48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выносной консоли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31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50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и подключение светофора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32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51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и подключение знака переменной информации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33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52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и подключение знака светодиодного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34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53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и подключение повторителя сигнала светофора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35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54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и подключение информационной световой секции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36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55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дополнительной секции светофора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37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56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и подключение светоблока светодиодного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38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57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и подключение пешеходного вызывного устройства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39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66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и подключение коммутатора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40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67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и подключение SFP-модуля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41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68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и подключение блока питания медиаконвертера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42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69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и подключение медиаконвертера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43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75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Монтаж коробки клеммной 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44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76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коробки оптической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5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45</w:t>
            </w:r>
          </w:p>
        </w:tc>
        <w:tc>
          <w:tcPr>
            <w:tcW w:w="109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77</w:t>
            </w:r>
          </w:p>
        </w:tc>
        <w:tc>
          <w:tcPr>
            <w:tcW w:w="74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Монтаж экрана светофора</w:t>
            </w:r>
          </w:p>
        </w:tc>
        <w:tc>
          <w:tcPr>
            <w:tcW w:w="58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</w:tbl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  <w:t>Приложение №2 к Техническому заданию</w:t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center"/>
        <w:rPr>
          <w:color w:val="auto"/>
        </w:rPr>
      </w:pPr>
      <w:r>
        <w:rPr>
          <w:color w:val="auto"/>
        </w:rPr>
        <w:t>Виды применяемых материалов</w:t>
      </w:r>
    </w:p>
    <w:tbl>
      <w:tblPr>
        <w:tblW w:w="9493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val="04a0" w:noHBand="0" w:noVBand="1" w:firstColumn="1" w:lastRow="0" w:lastColumn="0" w:firstRow="1"/>
      </w:tblPr>
      <w:tblGrid>
        <w:gridCol w:w="676"/>
        <w:gridCol w:w="1088"/>
        <w:gridCol w:w="7168"/>
        <w:gridCol w:w="560"/>
      </w:tblGrid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№ </w:t>
            </w:r>
            <w:r>
              <w:rPr>
                <w:color w:val="auto"/>
                <w:szCs w:val="24"/>
              </w:rPr>
              <w:t>п/п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№ </w:t>
            </w:r>
            <w:r>
              <w:rPr>
                <w:color w:val="auto"/>
                <w:szCs w:val="24"/>
              </w:rPr>
              <w:t>п/п по гос. контракту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Наименование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 изм.</w:t>
            </w:r>
          </w:p>
        </w:tc>
      </w:tr>
      <w:tr>
        <w:trPr>
          <w:trHeight w:val="20" w:hRule="atLeast"/>
        </w:trPr>
        <w:tc>
          <w:tcPr>
            <w:tcW w:w="949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III. Материалы и оборудование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Кабель КВВГнг 4х1,5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Кабель КВВГнг 5х1,5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Кабель КВВГнг 7х1,5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Кабель КВВГнг 10х1,5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Кабель КВВГнг 14х1,5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Кабель КВВГнг 19х1,5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7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7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Кабель КВВГнг 27х1,5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8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8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Трос стальной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9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Труба гофрированная ПНД 25 мм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10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Провод СИП-4 2х16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11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11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Кабель КСВППэN-5е 4х2х0,52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12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12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Кабель оптический 4 волокна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м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13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13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Опора оцинкованная диаметром 159 мм, толщина стенки не менее 3,5мм, длиной не менее 6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14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14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Опора оцинкованная диаметром 133 мм, толщина стенки не менее 3,5мм, длиной не менее 6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15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15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Опора оцинкованная Г-образная граненная диаметром 219 мм, толщина стенки не менее 3 мм, длиной не менее 6 м, длина консоли 3,5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16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16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Опора оцинкованная Г-образная граненная диаметром 219 мм, толщина стенки не менее 3 мм, длиной не менее 6 м, длина консоли 4,5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17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17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Опора оцинкованная Г-образная граненная диаметром 250 мм, толщина стенки не менее 3 мм, длиной не менее 6 м, длина консоли 6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18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18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Закладная деталь оцинкованная диаметром 159 мм, толщина стенки не менее 3,5мм, длиной не менее 1,5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19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19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Закладная деталь оцинкованная диаметром 133 мм, толщина стенки не менее 3,5мм, длиной не менее 1,5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20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20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 xml:space="preserve">Закладная деталь оцинкованная диаметром 219 мм, толщина стенки </w:t>
              <w:br/>
              <w:t>6 мм, длиной не менее 2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21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21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Выносная консоль стальная оцинкованная с толщиной стенки не менее 3,5 мм, длина 2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22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22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Выносная консоль стальная оцинкованная с толщиной стенки не менее 3,5 мм, длина 3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23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23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Выносная консоль стальная оцинкованная с толщиной стенки не менее 3,5 мм, длина 4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24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24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Выносная консоль стальная оцинкованная с толщиной стенки не менее 3,5 мм, длина 5 м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25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26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Т.1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27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Т.1.лк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27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28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Т.1.пк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28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29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Т.1.плк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29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30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Т.2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30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31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Т.3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31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32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Т.4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32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33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Т.4.ж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33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34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Т.5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34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35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Светофор П.1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35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36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Знак переменной информации 5.15.2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36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37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Знак светодиодный 5.19.1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37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38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Знак светодиодный 5.19.2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38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39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Повторитель сигнала светофора, длина 1 метр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39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40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Информационная световая секция ИСС.п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41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Информационная световая секция ИСС.л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41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42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Дополнительная секция светофора л.к (Dаперт.= 300 мм)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42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43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Дополнительная секция светофора п.к (Dаперт.= 300 мм)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43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44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Светоблок светодиодный (Dаперт.=300 мм)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44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45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Механическое пешеходное вызывное устройство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45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46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Сенсорное пешеходное вызывное устройство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46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57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Коммутатор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47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58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SFP-модуль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48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59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Блок питания медиаконвертера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49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60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Медиаконвертер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50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88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Коробка клеммная степень защиты не менее IP54, 10 зажимов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51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89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Коробка клеммная степень защиты не менее IP54, 20 зажимов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52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90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Коробка клеммная степень защиты не менее IP54, 30 зажимов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53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91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Коробка клеммная степень защиты не менее IP54, 40 зажимов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54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92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Экран светофора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  <w:tr>
        <w:trPr>
          <w:trHeight w:val="20" w:hRule="atLeast"/>
        </w:trPr>
        <w:tc>
          <w:tcPr>
            <w:tcW w:w="6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55</w:t>
            </w:r>
          </w:p>
        </w:tc>
        <w:tc>
          <w:tcPr>
            <w:tcW w:w="10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93</w:t>
            </w:r>
          </w:p>
        </w:tc>
        <w:tc>
          <w:tcPr>
            <w:tcW w:w="71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  <w:szCs w:val="24"/>
              </w:rPr>
              <w:t>Коробка оптическая</w:t>
            </w:r>
          </w:p>
        </w:tc>
        <w:tc>
          <w:tcPr>
            <w:tcW w:w="5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Cs w:val="24"/>
              </w:rPr>
              <w:t>ед.</w:t>
            </w:r>
          </w:p>
        </w:tc>
      </w:tr>
    </w:tbl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tbl>
      <w:tblPr>
        <w:tblW w:w="9636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88"/>
        <w:gridCol w:w="3685"/>
        <w:gridCol w:w="1603"/>
        <w:gridCol w:w="1648"/>
        <w:gridCol w:w="1912"/>
      </w:tblGrid>
      <w:tr>
        <w:trPr>
          <w:trHeight w:val="630" w:hRule="atLeast"/>
        </w:trPr>
        <w:tc>
          <w:tcPr>
            <w:tcW w:w="9636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76" w:before="0" w:after="200"/>
              <w:jc w:val="end"/>
              <w:rPr>
                <w:color w:val="auto"/>
              </w:rPr>
            </w:pPr>
            <w:r>
              <w:rPr>
                <w:color w:val="auto"/>
              </w:rPr>
              <w:t>Приложение №3 к Техническому заданию</w:t>
            </w:r>
          </w:p>
          <w:p>
            <w:pPr>
              <w:pStyle w:val="Normal"/>
              <w:spacing w:lineRule="auto" w:line="360"/>
              <w:jc w:val="end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1185" w:hRule="atLeast"/>
        </w:trPr>
        <w:tc>
          <w:tcPr>
            <w:tcW w:w="9636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360" w:before="0" w:after="12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2"/>
              </w:rPr>
              <w:t>Требования заказчика для оценки качества работ по содержанию светофорных объектов, расположенных на автомобильных дорогах общего пользования регионального и межмуниципального значения в Самарской области</w:t>
            </w:r>
          </w:p>
        </w:tc>
      </w:tr>
      <w:tr>
        <w:trPr>
          <w:trHeight w:val="465" w:hRule="atLeast"/>
        </w:trPr>
        <w:tc>
          <w:tcPr>
            <w:tcW w:w="788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2"/>
              </w:rPr>
              <w:t xml:space="preserve">№ </w:t>
            </w:r>
            <w:r>
              <w:rPr>
                <w:b/>
                <w:color w:val="auto"/>
                <w:sz w:val="22"/>
              </w:rPr>
              <w:t>п/п</w:t>
            </w:r>
          </w:p>
        </w:tc>
        <w:tc>
          <w:tcPr>
            <w:tcW w:w="3685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2"/>
              </w:rPr>
              <w:t>Наименование дефекта</w:t>
            </w:r>
          </w:p>
        </w:tc>
        <w:tc>
          <w:tcPr>
            <w:tcW w:w="5163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2"/>
              </w:rPr>
              <w:t>Уровень содержания в зависимости от сроков устранения</w:t>
            </w:r>
          </w:p>
        </w:tc>
      </w:tr>
      <w:tr>
        <w:trPr>
          <w:trHeight w:val="570" w:hRule="atLeast"/>
        </w:trPr>
        <w:tc>
          <w:tcPr>
            <w:tcW w:w="78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685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160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2"/>
              </w:rPr>
              <w:t>Высокий</w:t>
            </w:r>
          </w:p>
        </w:tc>
        <w:tc>
          <w:tcPr>
            <w:tcW w:w="164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2"/>
              </w:rPr>
              <w:t>Допустимый</w:t>
            </w:r>
          </w:p>
        </w:tc>
        <w:tc>
          <w:tcPr>
            <w:tcW w:w="191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2"/>
              </w:rPr>
              <w:t>Недопустимый</w:t>
            </w:r>
          </w:p>
        </w:tc>
      </w:tr>
      <w:tr>
        <w:trPr>
          <w:trHeight w:val="960" w:hRule="atLeast"/>
        </w:trPr>
        <w:tc>
          <w:tcPr>
            <w:tcW w:w="7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68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  <w:sz w:val="22"/>
              </w:rPr>
              <w:t xml:space="preserve">Неисправность (повреждение) кабельных линий, провисание кабеля над покрытием проезжей части ниже 5 м </w:t>
            </w:r>
          </w:p>
        </w:tc>
        <w:tc>
          <w:tcPr>
            <w:tcW w:w="1603" w:type="dxa"/>
            <w:tcBorders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1 сут.</w:t>
            </w:r>
          </w:p>
        </w:tc>
        <w:tc>
          <w:tcPr>
            <w:tcW w:w="164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-</w:t>
            </w:r>
          </w:p>
        </w:tc>
        <w:tc>
          <w:tcPr>
            <w:tcW w:w="191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свыше 1 сут.</w:t>
            </w:r>
          </w:p>
        </w:tc>
      </w:tr>
      <w:tr>
        <w:trPr>
          <w:trHeight w:val="1110" w:hRule="atLeast"/>
        </w:trPr>
        <w:tc>
          <w:tcPr>
            <w:tcW w:w="7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68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  <w:sz w:val="22"/>
              </w:rPr>
              <w:t xml:space="preserve">Неработающий сигнал (сигналы) светофора, информационной секции,  знака переменной информации, светодиодного знака. </w:t>
            </w:r>
          </w:p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  <w:sz w:val="22"/>
              </w:rPr>
              <w:t>Утрата светофоров, информационных секций, знака переменной информации, маски светофора.</w:t>
            </w:r>
          </w:p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  <w:sz w:val="22"/>
              </w:rPr>
              <w:t>Наличие внешних загрязнений лицевой поверхности светофора, информационной секции, знака переменной информации, светодиодного знака</w:t>
            </w:r>
          </w:p>
        </w:tc>
        <w:tc>
          <w:tcPr>
            <w:tcW w:w="1603" w:type="dxa"/>
            <w:tcBorders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1 сут.</w:t>
            </w:r>
          </w:p>
        </w:tc>
        <w:tc>
          <w:tcPr>
            <w:tcW w:w="164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-</w:t>
            </w:r>
          </w:p>
        </w:tc>
        <w:tc>
          <w:tcPr>
            <w:tcW w:w="191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свыше 1 сут.</w:t>
            </w:r>
          </w:p>
        </w:tc>
      </w:tr>
      <w:tr>
        <w:trPr>
          <w:trHeight w:val="765" w:hRule="atLeast"/>
        </w:trPr>
        <w:tc>
          <w:tcPr>
            <w:tcW w:w="7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68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  <w:sz w:val="22"/>
              </w:rPr>
              <w:t>Отказ в работе пешеходного вызывного устройства</w:t>
            </w:r>
          </w:p>
        </w:tc>
        <w:tc>
          <w:tcPr>
            <w:tcW w:w="1603" w:type="dxa"/>
            <w:tcBorders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1 сут.</w:t>
            </w:r>
          </w:p>
        </w:tc>
        <w:tc>
          <w:tcPr>
            <w:tcW w:w="164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2-3 сут.</w:t>
            </w:r>
          </w:p>
        </w:tc>
        <w:tc>
          <w:tcPr>
            <w:tcW w:w="191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свыше 3 сут.</w:t>
            </w:r>
          </w:p>
        </w:tc>
      </w:tr>
      <w:tr>
        <w:trPr>
          <w:trHeight w:val="1035" w:hRule="atLeast"/>
        </w:trPr>
        <w:tc>
          <w:tcPr>
            <w:tcW w:w="7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68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  <w:sz w:val="22"/>
              </w:rPr>
              <w:t>Повреждение информационной секций, экрана светофора, знака переменной информации, светодиодного дорожного знака</w:t>
            </w:r>
          </w:p>
        </w:tc>
        <w:tc>
          <w:tcPr>
            <w:tcW w:w="1603" w:type="dxa"/>
            <w:tcBorders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1 сут.</w:t>
            </w:r>
          </w:p>
        </w:tc>
        <w:tc>
          <w:tcPr>
            <w:tcW w:w="164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2-10 сут.</w:t>
            </w:r>
          </w:p>
        </w:tc>
        <w:tc>
          <w:tcPr>
            <w:tcW w:w="191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свыше 10 сут.</w:t>
            </w:r>
          </w:p>
        </w:tc>
      </w:tr>
      <w:tr>
        <w:trPr>
          <w:trHeight w:val="975" w:hRule="atLeast"/>
        </w:trPr>
        <w:tc>
          <w:tcPr>
            <w:tcW w:w="7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68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  <w:sz w:val="22"/>
              </w:rPr>
              <w:t>Изменение положения светофоров, информационных секций, знака переменной информации, светодиодного знака</w:t>
            </w:r>
          </w:p>
        </w:tc>
        <w:tc>
          <w:tcPr>
            <w:tcW w:w="1603" w:type="dxa"/>
            <w:tcBorders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2 сут.</w:t>
            </w:r>
          </w:p>
        </w:tc>
        <w:tc>
          <w:tcPr>
            <w:tcW w:w="1648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3-5 сут.</w:t>
            </w:r>
          </w:p>
        </w:tc>
        <w:tc>
          <w:tcPr>
            <w:tcW w:w="191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свыше 5 сут.</w:t>
            </w:r>
          </w:p>
        </w:tc>
      </w:tr>
      <w:tr>
        <w:trPr>
          <w:trHeight w:val="1080" w:hRule="atLeast"/>
        </w:trPr>
        <w:tc>
          <w:tcPr>
            <w:tcW w:w="7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  <w:sz w:val="22"/>
              </w:rPr>
              <w:t>Наличие внешних загрязнений корпусов (не лицевой поверхности) светофора, информационной секции, знака переменной информации</w:t>
            </w:r>
          </w:p>
        </w:tc>
        <w:tc>
          <w:tcPr>
            <w:tcW w:w="160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4 сут.</w:t>
            </w:r>
          </w:p>
        </w:tc>
        <w:tc>
          <w:tcPr>
            <w:tcW w:w="1648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5-7 сут.</w:t>
            </w:r>
          </w:p>
        </w:tc>
        <w:tc>
          <w:tcPr>
            <w:tcW w:w="191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свыше 7 сут.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701" w:right="567" w:gutter="0" w:header="357" w:top="567" w:footer="709" w:bottom="1134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Normal"/>
        <w:spacing w:lineRule="auto" w:line="360"/>
        <w:jc w:val="end"/>
        <w:rPr>
          <w:color w:val="auto"/>
        </w:rPr>
      </w:pPr>
      <w:r>
        <w:rPr>
          <w:color w:val="auto"/>
          <w:spacing w:val="-2"/>
          <w:sz w:val="22"/>
        </w:rPr>
        <w:t>Приложение № 4 к Техническому заданию</w:t>
      </w:r>
    </w:p>
    <w:p>
      <w:pPr>
        <w:pStyle w:val="Normal"/>
        <w:spacing w:lineRule="auto" w:line="360"/>
        <w:jc w:val="end"/>
        <w:rPr>
          <w:color w:val="auto"/>
          <w:spacing w:val="-2"/>
          <w:sz w:val="22"/>
        </w:rPr>
      </w:pPr>
      <w:r>
        <w:rPr>
          <w:color w:val="auto"/>
          <w:spacing w:val="-2"/>
          <w:sz w:val="22"/>
        </w:rPr>
      </w:r>
    </w:p>
    <w:tbl>
      <w:tblPr>
        <w:tblW w:w="10146" w:type="dxa"/>
        <w:jc w:val="start"/>
        <w:tblInd w:w="9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75"/>
        <w:gridCol w:w="3942"/>
        <w:gridCol w:w="5229"/>
      </w:tblGrid>
      <w:tr>
        <w:trPr>
          <w:trHeight w:val="2057" w:hRule="atLeast"/>
        </w:trPr>
        <w:tc>
          <w:tcPr>
            <w:tcW w:w="1014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Понижающие коэффициенты по оценке качества содержания светофорных объектов, расположенных на автомобильных дорогах общего пользования регионального и межмуниципального значения в Самарской области</w:t>
            </w:r>
          </w:p>
        </w:tc>
      </w:tr>
      <w:tr>
        <w:trPr>
          <w:trHeight w:val="304" w:hRule="atLeast"/>
        </w:trPr>
        <w:tc>
          <w:tcPr>
            <w:tcW w:w="975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394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5229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</w:r>
          </w:p>
        </w:tc>
      </w:tr>
      <w:tr>
        <w:trPr>
          <w:trHeight w:val="1140" w:hRule="atLeast"/>
        </w:trPr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№</w:t>
            </w:r>
            <w:r>
              <w:rPr>
                <w:color w:val="auto"/>
              </w:rPr>
              <w:br/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Уровень содержания</w:t>
            </w:r>
          </w:p>
        </w:tc>
        <w:tc>
          <w:tcPr>
            <w:tcW w:w="5229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Коэффициент снижения </w:t>
              <w:br/>
              <w:t xml:space="preserve">стоимости работ </w:t>
              <w:br/>
              <w:t>по качеству</w:t>
            </w:r>
          </w:p>
        </w:tc>
      </w:tr>
      <w:tr>
        <w:trPr>
          <w:trHeight w:val="380" w:hRule="atLeast"/>
        </w:trPr>
        <w:tc>
          <w:tcPr>
            <w:tcW w:w="9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Высокий</w:t>
            </w:r>
          </w:p>
        </w:tc>
        <w:tc>
          <w:tcPr>
            <w:tcW w:w="522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1,00</w:t>
            </w:r>
          </w:p>
        </w:tc>
      </w:tr>
      <w:tr>
        <w:trPr>
          <w:trHeight w:val="380" w:hRule="atLeast"/>
        </w:trPr>
        <w:tc>
          <w:tcPr>
            <w:tcW w:w="9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Допустимый</w:t>
            </w:r>
          </w:p>
        </w:tc>
        <w:tc>
          <w:tcPr>
            <w:tcW w:w="522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0,50</w:t>
            </w:r>
          </w:p>
        </w:tc>
      </w:tr>
      <w:tr>
        <w:trPr>
          <w:trHeight w:val="380" w:hRule="atLeast"/>
        </w:trPr>
        <w:tc>
          <w:tcPr>
            <w:tcW w:w="9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Недопустимый</w:t>
            </w:r>
          </w:p>
        </w:tc>
        <w:tc>
          <w:tcPr>
            <w:tcW w:w="5229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0,00</w:t>
            </w:r>
          </w:p>
        </w:tc>
      </w:tr>
      <w:tr>
        <w:trPr>
          <w:trHeight w:val="304" w:hRule="atLeast"/>
        </w:trPr>
        <w:tc>
          <w:tcPr>
            <w:tcW w:w="975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</w:r>
          </w:p>
        </w:tc>
        <w:tc>
          <w:tcPr>
            <w:tcW w:w="3942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</w:r>
          </w:p>
        </w:tc>
        <w:tc>
          <w:tcPr>
            <w:tcW w:w="5229" w:type="dxa"/>
            <w:tcBorders/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</w:r>
          </w:p>
        </w:tc>
      </w:tr>
    </w:tbl>
    <w:p>
      <w:pPr>
        <w:pStyle w:val="Normal"/>
        <w:spacing w:lineRule="auto" w:line="360"/>
        <w:jc w:val="end"/>
        <w:rPr>
          <w:i/>
          <w:i/>
          <w:color w:val="auto"/>
          <w:spacing w:val="-2"/>
          <w:sz w:val="22"/>
        </w:rPr>
      </w:pPr>
      <w:r>
        <w:rPr>
          <w:i/>
          <w:color w:val="auto"/>
          <w:spacing w:val="-2"/>
          <w:sz w:val="22"/>
        </w:rPr>
      </w:r>
    </w:p>
    <w:p>
      <w:pPr>
        <w:pStyle w:val="Normal"/>
        <w:spacing w:lineRule="auto" w:line="360"/>
        <w:jc w:val="end"/>
        <w:rPr>
          <w:i/>
          <w:i/>
          <w:color w:val="auto"/>
          <w:spacing w:val="-2"/>
          <w:sz w:val="22"/>
        </w:rPr>
      </w:pPr>
      <w:r>
        <w:rPr>
          <w:i/>
          <w:color w:val="auto"/>
          <w:spacing w:val="-2"/>
          <w:sz w:val="22"/>
        </w:rPr>
      </w:r>
    </w:p>
    <w:p>
      <w:pPr>
        <w:sectPr>
          <w:headerReference w:type="even" r:id="rId8"/>
          <w:headerReference w:type="default" r:id="rId9"/>
          <w:headerReference w:type="first" r:id="rId10"/>
          <w:footerReference w:type="even" r:id="rId11"/>
          <w:footerReference w:type="default" r:id="rId12"/>
          <w:footerReference w:type="first" r:id="rId13"/>
          <w:type w:val="nextPage"/>
          <w:pgSz w:w="11906" w:h="16838"/>
          <w:pgMar w:left="993" w:right="851" w:gutter="0" w:header="357" w:top="851" w:footer="709" w:bottom="1276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spacing w:lineRule="auto" w:line="360"/>
        <w:jc w:val="end"/>
        <w:rPr>
          <w:i/>
          <w:i/>
          <w:color w:val="auto"/>
          <w:spacing w:val="-2"/>
          <w:sz w:val="22"/>
        </w:rPr>
      </w:pPr>
      <w:r>
        <w:rPr>
          <w:i/>
          <w:color w:val="auto"/>
          <w:spacing w:val="-2"/>
          <w:sz w:val="22"/>
        </w:rPr>
      </w:r>
    </w:p>
    <w:p>
      <w:pPr>
        <w:pStyle w:val="Normal"/>
        <w:spacing w:lineRule="auto" w:line="360"/>
        <w:jc w:val="end"/>
        <w:rPr>
          <w:color w:val="auto"/>
        </w:rPr>
      </w:pPr>
      <w:r>
        <w:rPr>
          <w:color w:val="auto"/>
          <w:spacing w:val="-2"/>
          <w:sz w:val="22"/>
        </w:rPr>
        <w:t>Приложение № 5 к Техническому заданию</w:t>
      </w:r>
    </w:p>
    <w:p>
      <w:pPr>
        <w:pStyle w:val="Normal"/>
        <w:spacing w:lineRule="auto" w:line="360"/>
        <w:jc w:val="end"/>
        <w:rPr>
          <w:i/>
          <w:i/>
          <w:color w:val="auto"/>
          <w:spacing w:val="-2"/>
        </w:rPr>
      </w:pPr>
      <w:r>
        <w:rPr>
          <w:i/>
          <w:color w:val="auto"/>
          <w:spacing w:val="-2"/>
        </w:rPr>
      </w:r>
    </w:p>
    <w:p>
      <w:pPr>
        <w:pStyle w:val="Normal"/>
        <w:jc w:val="center"/>
        <w:rPr>
          <w:color w:val="auto"/>
        </w:rPr>
      </w:pPr>
      <w:r>
        <w:rPr>
          <w:color w:val="auto"/>
        </w:rPr>
        <w:t>АКТ</w:t>
      </w:r>
    </w:p>
    <w:p>
      <w:pPr>
        <w:pStyle w:val="Normal"/>
        <w:spacing w:before="0" w:after="200"/>
        <w:jc w:val="center"/>
        <w:rPr>
          <w:color w:val="auto"/>
        </w:rPr>
      </w:pPr>
      <w:r>
        <w:rPr>
          <w:color w:val="auto"/>
        </w:rPr>
        <w:t>проверки уровня содержания</w:t>
      </w:r>
    </w:p>
    <w:p>
      <w:pPr>
        <w:pStyle w:val="Normal"/>
        <w:spacing w:lineRule="auto" w:line="276" w:before="0" w:after="200"/>
        <w:rPr>
          <w:color w:val="auto"/>
        </w:rPr>
      </w:pPr>
      <w:r>
        <w:rPr>
          <w:color w:val="auto"/>
        </w:rPr>
        <w:t>«____» _________20___г.</w:t>
      </w:r>
    </w:p>
    <w:p>
      <w:pPr>
        <w:pStyle w:val="Normal"/>
        <w:spacing w:before="0" w:after="200"/>
        <w:jc w:val="both"/>
        <w:rPr>
          <w:color w:val="auto"/>
        </w:rPr>
      </w:pPr>
      <w:r>
        <w:rPr>
          <w:color w:val="auto"/>
        </w:rPr>
        <w:t>Комиссия в составе</w:t>
      </w:r>
    </w:p>
    <w:p>
      <w:pPr>
        <w:pStyle w:val="Normal"/>
        <w:spacing w:before="0" w:after="200"/>
        <w:jc w:val="both"/>
        <w:rPr>
          <w:color w:val="auto"/>
        </w:rPr>
      </w:pPr>
      <w:r>
        <w:rPr>
          <w:color w:val="auto"/>
        </w:rPr>
        <w:t>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76" w:before="0" w:after="200"/>
        <w:jc w:val="both"/>
        <w:rPr>
          <w:color w:val="auto"/>
        </w:rPr>
      </w:pPr>
      <w:r>
        <w:rPr>
          <w:color w:val="auto"/>
        </w:rPr>
        <w:t>осуществила проверку уровня содержанию светофорных объектов, расположенных на автомобильных дорогах общего пользования регионального и межмуниципального значения в Самарской области</w:t>
      </w:r>
    </w:p>
    <w:p>
      <w:pPr>
        <w:pStyle w:val="Normal"/>
        <w:spacing w:lineRule="auto" w:line="276" w:before="0" w:after="200"/>
        <w:jc w:val="both"/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>за отчетный  период с «_____» ___________20___г. по «____» _____________20___г.</w:t>
      </w:r>
    </w:p>
    <w:p>
      <w:pPr>
        <w:pStyle w:val="Normal"/>
        <w:spacing w:lineRule="auto" w:line="276" w:before="0" w:after="200"/>
        <w:ind w:hanging="142" w:start="142"/>
        <w:jc w:val="both"/>
        <w:rPr>
          <w:color w:val="auto"/>
        </w:rPr>
      </w:pPr>
      <w:r>
        <w:rPr>
          <w:color w:val="auto"/>
        </w:rPr>
        <w:t>и установила следующее:</w:t>
      </w:r>
    </w:p>
    <w:tbl>
      <w:tblPr>
        <w:tblW w:w="1541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92"/>
        <w:gridCol w:w="11003"/>
        <w:gridCol w:w="3624"/>
      </w:tblGrid>
      <w:tr>
        <w:trPr>
          <w:trHeight w:val="517" w:hRule="atLeast"/>
        </w:trPr>
        <w:tc>
          <w:tcPr>
            <w:tcW w:w="7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№ </w:t>
            </w:r>
            <w:r>
              <w:rPr>
                <w:b/>
                <w:color w:val="auto"/>
              </w:rPr>
              <w:t>п/п</w:t>
            </w:r>
          </w:p>
        </w:tc>
        <w:tc>
          <w:tcPr>
            <w:tcW w:w="110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Объект</w:t>
            </w:r>
          </w:p>
        </w:tc>
        <w:tc>
          <w:tcPr>
            <w:tcW w:w="3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Уровень содержания</w:t>
            </w:r>
          </w:p>
        </w:tc>
      </w:tr>
    </w:tbl>
    <w:tbl>
      <w:tblPr>
        <w:tblStyle w:val="1ff8"/>
        <w:tblW w:w="15419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67"/>
        <w:gridCol w:w="11121"/>
        <w:gridCol w:w="3531"/>
      </w:tblGrid>
      <w:tr>
        <w:trPr>
          <w:trHeight w:val="20" w:hRule="atLeast"/>
        </w:trPr>
        <w:tc>
          <w:tcPr>
            <w:tcW w:w="15419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6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1112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6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1112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6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1112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6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1112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6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1112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6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1112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3531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spacing w:before="0" w:after="200"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spacing w:before="0" w:after="200"/>
        <w:jc w:val="both"/>
        <w:rPr>
          <w:color w:val="auto"/>
        </w:rPr>
      </w:pPr>
      <w:r>
        <w:rPr>
          <w:color w:val="auto"/>
        </w:rPr>
        <w:t>2. Нарушения, выявленные при приемке работ:_______________________________________________________________________________________________________________________________</w:t>
      </w:r>
    </w:p>
    <w:p>
      <w:pPr>
        <w:pStyle w:val="Normal"/>
        <w:spacing w:lineRule="auto" w:line="276" w:before="0" w:after="200"/>
        <w:jc w:val="both"/>
        <w:rPr>
          <w:color w:val="auto"/>
        </w:rPr>
      </w:pPr>
      <w:r>
        <w:rPr>
          <w:color w:val="auto"/>
        </w:rPr>
        <w:t>Члены комиссии:  ___________________________</w:t>
      </w:r>
    </w:p>
    <w:p>
      <w:pPr>
        <w:pStyle w:val="Normal"/>
        <w:spacing w:lineRule="auto" w:line="276" w:before="0" w:after="200"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jc w:val="end"/>
        <w:rPr>
          <w:color w:val="auto"/>
        </w:rPr>
      </w:pPr>
      <w:r>
        <w:rPr>
          <w:color w:val="auto"/>
        </w:rPr>
        <w:t xml:space="preserve">  </w:t>
      </w:r>
      <w:r>
        <w:rPr>
          <w:color w:val="auto"/>
          <w:spacing w:val="-2"/>
          <w:sz w:val="22"/>
        </w:rPr>
        <w:t>Приложение № 6 к Техническому заданию</w:t>
      </w:r>
    </w:p>
    <w:p>
      <w:pPr>
        <w:pStyle w:val="Normal"/>
        <w:spacing w:lineRule="auto" w:line="276" w:before="0" w:after="200"/>
        <w:jc w:val="end"/>
        <w:rPr>
          <w:i/>
          <w:i/>
          <w:color w:val="auto"/>
          <w:spacing w:val="-2"/>
          <w:sz w:val="22"/>
        </w:rPr>
      </w:pPr>
      <w:r>
        <w:rPr>
          <w:i/>
          <w:color w:val="auto"/>
          <w:spacing w:val="-2"/>
          <w:sz w:val="22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center"/>
        <w:rPr>
          <w:b/>
          <w:color w:val="auto"/>
          <w:sz w:val="96"/>
        </w:rPr>
      </w:pPr>
      <w:r>
        <w:rPr>
          <w:b/>
          <w:color w:val="auto"/>
          <w:sz w:val="96"/>
        </w:rPr>
      </w:r>
    </w:p>
    <w:p>
      <w:pPr>
        <w:pStyle w:val="Normal"/>
        <w:jc w:val="center"/>
        <w:rPr>
          <w:b/>
          <w:color w:val="auto"/>
          <w:sz w:val="96"/>
        </w:rPr>
      </w:pPr>
      <w:r>
        <w:rPr>
          <w:b/>
          <w:color w:val="auto"/>
          <w:sz w:val="96"/>
        </w:rPr>
      </w:r>
    </w:p>
    <w:p>
      <w:pPr>
        <w:pStyle w:val="Normal"/>
        <w:jc w:val="center"/>
        <w:rPr>
          <w:color w:val="auto"/>
        </w:rPr>
      </w:pPr>
      <w:r>
        <w:rPr>
          <w:b/>
          <w:color w:val="auto"/>
          <w:sz w:val="96"/>
        </w:rPr>
        <w:t>Журнал регистрации дефектов</w:t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jc w:val="end"/>
        <w:rPr>
          <w:i/>
          <w:i/>
          <w:color w:val="auto"/>
          <w:sz w:val="20"/>
        </w:rPr>
      </w:pPr>
      <w:r>
        <w:rPr>
          <w:i/>
          <w:color w:val="auto"/>
          <w:sz w:val="20"/>
        </w:rPr>
      </w:r>
    </w:p>
    <w:p>
      <w:pPr>
        <w:pStyle w:val="Normal"/>
        <w:spacing w:lineRule="auto" w:line="276" w:before="0" w:after="200"/>
        <w:rPr>
          <w:b/>
          <w:color w:val="auto"/>
        </w:rPr>
      </w:pPr>
      <w:r>
        <w:rPr>
          <w:b/>
          <w:color w:val="auto"/>
        </w:rPr>
      </w:r>
      <w:r>
        <w:br w:type="page"/>
      </w:r>
    </w:p>
    <w:p>
      <w:pPr>
        <w:pStyle w:val="Normal"/>
        <w:spacing w:before="0" w:after="120"/>
        <w:jc w:val="center"/>
        <w:rPr>
          <w:color w:val="auto"/>
        </w:rPr>
      </w:pPr>
      <w:r>
        <w:rPr>
          <w:b/>
          <w:color w:val="auto"/>
        </w:rPr>
        <w:t>Журнал регистрации дефектов № _____</w:t>
      </w:r>
    </w:p>
    <w:tbl>
      <w:tblPr>
        <w:tblW w:w="15420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329"/>
        <w:gridCol w:w="522"/>
        <w:gridCol w:w="1452"/>
        <w:gridCol w:w="589"/>
        <w:gridCol w:w="1422"/>
        <w:gridCol w:w="430"/>
        <w:gridCol w:w="239"/>
        <w:gridCol w:w="3966"/>
        <w:gridCol w:w="6470"/>
      </w:tblGrid>
      <w:tr>
        <w:trPr/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  <w:t>по</w:t>
            </w:r>
          </w:p>
        </w:tc>
        <w:tc>
          <w:tcPr>
            <w:tcW w:w="14568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i/>
                <w:color w:val="auto"/>
                <w:sz w:val="18"/>
              </w:rPr>
              <w:t>(наименование объекта)</w:t>
            </w:r>
            <w:r>
              <w:rPr>
                <w:color w:val="auto"/>
              </w:rPr>
              <w:t> </w:t>
            </w:r>
          </w:p>
        </w:tc>
      </w:tr>
      <w:tr>
        <w:trPr/>
        <w:tc>
          <w:tcPr>
            <w:tcW w:w="23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</w:r>
          </w:p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  <w:t>Исполнитель</w:t>
            </w:r>
          </w:p>
        </w:tc>
        <w:tc>
          <w:tcPr>
            <w:tcW w:w="13116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i/>
                <w:color w:val="auto"/>
                <w:sz w:val="18"/>
              </w:rPr>
              <w:t>(наименование организации,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i/>
                <w:color w:val="auto"/>
                <w:sz w:val="18"/>
              </w:rPr>
              <w:t>номер и дата выдачи свидетельства о государственной регистрации, ОГРН, ИНН,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i/>
                <w:color w:val="auto"/>
                <w:sz w:val="18"/>
              </w:rPr>
              <w:t>почтовые реквизиты, телефон/факс - для юридических лиц;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i/>
                <w:color w:val="auto"/>
                <w:sz w:val="18"/>
              </w:rPr>
              <w:t>фамилия, имя, отчество застройщика,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i/>
                <w:color w:val="auto"/>
                <w:sz w:val="18"/>
              </w:rPr>
              <w:t>паспортные данные, место проживания, телефон/факс - для физических лиц)</w:t>
            </w:r>
          </w:p>
        </w:tc>
      </w:tr>
      <w:tr>
        <w:trPr/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  <w:tc>
          <w:tcPr>
            <w:tcW w:w="14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  <w:tc>
          <w:tcPr>
            <w:tcW w:w="13116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>
        <w:trPr/>
        <w:tc>
          <w:tcPr>
            <w:tcW w:w="431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left" w:pos="708" w:leader="none"/>
                <w:tab w:val="center" w:pos="4677" w:leader="none"/>
                <w:tab w:val="right" w:pos="9355" w:leader="none"/>
              </w:tabs>
              <w:rPr>
                <w:color w:val="auto"/>
              </w:rPr>
            </w:pPr>
            <w:r>
              <w:rPr>
                <w:color w:val="auto"/>
              </w:rPr>
              <w:t>Начало выполнения работ</w:t>
            </w:r>
          </w:p>
        </w:tc>
        <w:tc>
          <w:tcPr>
            <w:tcW w:w="111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i/>
                <w:color w:val="auto"/>
                <w:sz w:val="18"/>
              </w:rPr>
              <w:t>(дата)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</w:tr>
      <w:tr>
        <w:trPr/>
        <w:tc>
          <w:tcPr>
            <w:tcW w:w="4983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</w:rPr>
              <w:t>Окончание выполнения работ</w:t>
            </w:r>
          </w:p>
        </w:tc>
        <w:tc>
          <w:tcPr>
            <w:tcW w:w="104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color w:val="auto"/>
              </w:rPr>
            </w:pPr>
            <w:r>
              <w:rPr>
                <w:color w:val="auto"/>
              </w:rPr>
              <w:t> 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i/>
                <w:color w:val="auto"/>
                <w:sz w:val="18"/>
              </w:rPr>
              <w:t>(дата)</w:t>
            </w:r>
          </w:p>
        </w:tc>
      </w:tr>
      <w:tr>
        <w:trPr/>
        <w:tc>
          <w:tcPr>
            <w:tcW w:w="15419" w:type="dxa"/>
            <w:gridSpan w:val="9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</w:r>
          </w:p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 настоящем журнале _____________ страниц. </w:t>
            </w:r>
          </w:p>
          <w:p>
            <w:pPr>
              <w:pStyle w:val="Normal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Журнал пронумерован, сброшюрован и скреплен печатью. В журнале содержится учет выявленных дефектов в период с ______________ по _____________ </w:t>
            </w:r>
          </w:p>
        </w:tc>
      </w:tr>
      <w:tr>
        <w:trPr/>
        <w:tc>
          <w:tcPr>
            <w:tcW w:w="3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  <w:tc>
          <w:tcPr>
            <w:tcW w:w="25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  <w:tc>
          <w:tcPr>
            <w:tcW w:w="14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  <w:tc>
          <w:tcPr>
            <w:tcW w:w="4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  <w:tc>
          <w:tcPr>
            <w:tcW w:w="420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  <w:tc>
          <w:tcPr>
            <w:tcW w:w="6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</w:r>
          </w:p>
        </w:tc>
      </w:tr>
    </w:tbl>
    <w:p>
      <w:pPr>
        <w:pStyle w:val="Normal"/>
        <w:spacing w:before="120" w:after="0"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spacing w:before="120" w:after="0"/>
        <w:jc w:val="both"/>
        <w:rPr>
          <w:color w:val="auto"/>
        </w:rPr>
      </w:pPr>
      <w:r>
        <w:rPr>
          <w:color w:val="auto"/>
        </w:rPr>
      </w:r>
      <w:r>
        <w:br w:type="page"/>
      </w:r>
    </w:p>
    <w:tbl>
      <w:tblPr>
        <w:tblW w:w="15419" w:type="dxa"/>
        <w:jc w:val="center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  <w:tblLook w:val="04a0" w:noHBand="0" w:noVBand="1" w:firstColumn="1" w:lastRow="0" w:lastColumn="0" w:firstRow="1"/>
      </w:tblPr>
      <w:tblGrid>
        <w:gridCol w:w="1190"/>
        <w:gridCol w:w="1562"/>
        <w:gridCol w:w="3344"/>
        <w:gridCol w:w="6228"/>
        <w:gridCol w:w="3095"/>
      </w:tblGrid>
      <w:tr>
        <w:trPr>
          <w:trHeight w:val="495" w:hRule="atLeast"/>
        </w:trPr>
        <w:tc>
          <w:tcPr>
            <w:tcW w:w="15419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pageBreakBefore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Информация о возникновении неисправности</w:t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Дата</w:t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Время</w:t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Элемент</w:t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Описание неисправности</w:t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Результат диагностики</w:t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510" w:hRule="atLeast"/>
        </w:trPr>
        <w:tc>
          <w:tcPr>
            <w:tcW w:w="119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56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34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622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0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Normal"/>
        <w:keepNext w:val="true"/>
        <w:numPr>
          <w:ilvl w:val="0"/>
          <w:numId w:val="0"/>
        </w:numPr>
        <w:spacing w:before="120" w:after="120"/>
        <w:jc w:val="center"/>
        <w:outlineLvl w:val="0"/>
        <w:rPr>
          <w:b/>
          <w:color w:val="auto"/>
        </w:rPr>
      </w:pPr>
      <w:r>
        <w:rPr>
          <w:b/>
          <w:color w:val="auto"/>
        </w:rPr>
      </w:r>
      <w:r>
        <w:br w:type="page"/>
      </w:r>
    </w:p>
    <w:tbl>
      <w:tblPr>
        <w:tblW w:w="15419" w:type="dxa"/>
        <w:jc w:val="center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  <w:tblLook w:val="04a0" w:noHBand="0" w:noVBand="1" w:firstColumn="1" w:lastRow="0" w:lastColumn="0" w:firstRow="1"/>
      </w:tblPr>
      <w:tblGrid>
        <w:gridCol w:w="1594"/>
        <w:gridCol w:w="2088"/>
        <w:gridCol w:w="4829"/>
        <w:gridCol w:w="3195"/>
        <w:gridCol w:w="3713"/>
      </w:tblGrid>
      <w:tr>
        <w:trPr>
          <w:trHeight w:val="301" w:hRule="atLeast"/>
        </w:trPr>
        <w:tc>
          <w:tcPr>
            <w:tcW w:w="15419" w:type="dxa"/>
            <w:gridSpan w:val="5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pageBreakBefore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Информация об устранении неисправности</w:t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Дата</w:t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Время</w:t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Способ устранения неисправности</w:t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Описание нового элемента (в случае замены)</w:t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</w:rPr>
            </w:pPr>
            <w:r>
              <w:rPr>
                <w:color w:val="auto"/>
              </w:rPr>
              <w:t>Срок устранения</w:t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>
          <w:trHeight w:val="407" w:hRule="atLeast"/>
        </w:trPr>
        <w:tc>
          <w:tcPr>
            <w:tcW w:w="159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8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82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19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1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sectPr>
          <w:headerReference w:type="even" r:id="rId14"/>
          <w:headerReference w:type="default" r:id="rId15"/>
          <w:headerReference w:type="first" r:id="rId16"/>
          <w:footerReference w:type="even" r:id="rId17"/>
          <w:footerReference w:type="default" r:id="rId18"/>
          <w:footerReference w:type="first" r:id="rId19"/>
          <w:type w:val="nextPage"/>
          <w:pgSz w:orient="landscape" w:w="16838" w:h="11906"/>
          <w:pgMar w:left="568" w:right="851" w:gutter="0" w:header="357" w:top="568" w:footer="709" w:bottom="851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Normal"/>
        <w:spacing w:lineRule="auto" w:line="360"/>
        <w:jc w:val="end"/>
        <w:rPr>
          <w:color w:val="auto"/>
        </w:rPr>
      </w:pPr>
      <w:r>
        <w:rPr>
          <w:color w:val="auto"/>
        </w:rPr>
        <w:t xml:space="preserve">  </w:t>
      </w:r>
      <w:r>
        <w:rPr>
          <w:color w:val="auto"/>
          <w:spacing w:val="-2"/>
          <w:sz w:val="22"/>
        </w:rPr>
        <w:t>Приложение № 7 к</w:t>
      </w:r>
      <w:bookmarkStart w:id="1" w:name="_GoBack"/>
      <w:bookmarkEnd w:id="1"/>
      <w:r>
        <w:rPr>
          <w:color w:val="auto"/>
          <w:spacing w:val="-2"/>
          <w:sz w:val="22"/>
        </w:rPr>
        <w:t xml:space="preserve"> Техническому заданию</w:t>
      </w:r>
    </w:p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45"/>
        <w:numPr>
          <w:ilvl w:val="0"/>
          <w:numId w:val="0"/>
        </w:numPr>
        <w:ind w:hanging="0" w:start="0"/>
        <w:jc w:val="center"/>
        <w:rPr>
          <w:color w:val="auto"/>
        </w:rPr>
      </w:pPr>
      <w:r>
        <w:rPr>
          <w:b w:val="false"/>
          <w:color w:val="auto"/>
        </w:rPr>
        <w:t xml:space="preserve">Программное обеспечение Интеллектуальной транспортной системы </w:t>
      </w:r>
      <w:r>
        <w:rPr>
          <w:rFonts w:eastAsia="Calibri"/>
          <w:b w:val="false"/>
          <w:color w:val="auto"/>
          <w:szCs w:val="24"/>
        </w:rPr>
        <w:t>Министерства транспорта и автомобильных дорог Самарской области</w:t>
      </w:r>
      <w:r>
        <w:rPr>
          <w:b w:val="false"/>
          <w:color w:val="auto"/>
        </w:rPr>
        <w:t xml:space="preserve"> включает в себя:</w:t>
      </w:r>
    </w:p>
    <w:tbl>
      <w:tblPr>
        <w:tblStyle w:val="affff1"/>
        <w:tblW w:w="9356" w:type="dxa"/>
        <w:jc w:val="start"/>
        <w:tblInd w:w="84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92"/>
        <w:gridCol w:w="2409"/>
        <w:gridCol w:w="5955"/>
      </w:tblGrid>
      <w:tr>
        <w:trPr>
          <w:trHeight w:val="414" w:hRule="atLeast"/>
        </w:trPr>
        <w:tc>
          <w:tcPr>
            <w:tcW w:w="992" w:type="dxa"/>
            <w:vMerge w:val="restart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firstLine="33"/>
              <w:jc w:val="center"/>
              <w:outlineLvl w:val="3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2409" w:type="dxa"/>
            <w:vMerge w:val="restart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firstLine="33"/>
              <w:jc w:val="center"/>
              <w:outlineLvl w:val="3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  <w:t xml:space="preserve">Наименование Программного обеспечения </w:t>
            </w:r>
          </w:p>
        </w:tc>
        <w:tc>
          <w:tcPr>
            <w:tcW w:w="5955" w:type="dxa"/>
            <w:vMerge w:val="restart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firstLine="33"/>
              <w:jc w:val="center"/>
              <w:outlineLvl w:val="3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  <w:t xml:space="preserve">Номер реестровой записи </w:t>
            </w:r>
          </w:p>
        </w:tc>
      </w:tr>
      <w:tr>
        <w:trPr>
          <w:trHeight w:val="517" w:hRule="atLeast"/>
        </w:trPr>
        <w:tc>
          <w:tcPr>
            <w:tcW w:w="992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0" w:after="0"/>
              <w:jc w:val="start"/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2409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0" w:after="0"/>
              <w:jc w:val="start"/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5955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0" w:after="0"/>
              <w:jc w:val="start"/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1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Модуль AdaptiveCoordination</w:t>
            </w:r>
          </w:p>
        </w:tc>
        <w:tc>
          <w:tcPr>
            <w:tcW w:w="595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Запись в реестре №11010 от 09.07.2021 произведена на основании приказа Министерства цифрового развития, связи и массовых коммуникаций Российской Федерации от 06.07.2021 №680</w:t>
            </w:r>
          </w:p>
        </w:tc>
      </w:tr>
      <w:tr>
        <w:trPr>
          <w:trHeight w:val="20" w:hRule="atLeast"/>
        </w:trPr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2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Модуль TrafficAnalizer</w:t>
            </w:r>
          </w:p>
        </w:tc>
        <w:tc>
          <w:tcPr>
            <w:tcW w:w="595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Запись в реестре №11157 от 21.07.2021 произведена на основании приказа Министерства цифрового развития, связи и массовых коммуникаций Российской Федерации от 21.07.2021 №750</w:t>
            </w:r>
          </w:p>
        </w:tc>
      </w:tr>
      <w:tr>
        <w:trPr>
          <w:trHeight w:val="20" w:hRule="atLeast"/>
        </w:trPr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3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Модуль SmartArea</w:t>
            </w:r>
          </w:p>
        </w:tc>
        <w:tc>
          <w:tcPr>
            <w:tcW w:w="595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Запись в реестре №8459 от 30.12.2020 произведена на основании приказа Министерства цифрового развития, связи и массовых коммуникаций Российской Федерации от 30.12.2020 №799</w:t>
            </w:r>
          </w:p>
        </w:tc>
      </w:tr>
      <w:tr>
        <w:trPr>
          <w:trHeight w:val="20" w:hRule="atLeast"/>
        </w:trPr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4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Модуль DigitalRoadNetwork</w:t>
            </w:r>
          </w:p>
        </w:tc>
        <w:tc>
          <w:tcPr>
            <w:tcW w:w="595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Запись в реестре №13277 от 11.04.2022 произведена на основании поручения Министерства цифрового развития, связи и массовых коммуникаций Российской Федерации от 11.04.2022 по протоколу заседания экспертного совета от 04.04.2022 №410пр</w:t>
            </w:r>
          </w:p>
        </w:tc>
      </w:tr>
      <w:tr>
        <w:trPr>
          <w:trHeight w:val="20" w:hRule="atLeast"/>
        </w:trPr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5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NETVISION TRAFFIC</w:t>
            </w:r>
          </w:p>
        </w:tc>
        <w:tc>
          <w:tcPr>
            <w:tcW w:w="595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Запись в реестре №6749 от 09.06.2020</w:t>
            </w:r>
          </w:p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000000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Произведена на основании приказа Министерства цифрового развития, связи и массовых коммуникаций Российской Федерации от </w:t>
            </w:r>
            <w:hyperlink r:id="rId20" w:tgtFrame="_blank">
              <w:r>
                <w:rPr>
                  <w:rStyle w:val="Style"/>
                  <w:rFonts w:eastAsia="Times New Roman" w:cs="Times New Roman"/>
                  <w:color w:val="000000"/>
                  <w:kern w:val="0"/>
                  <w:szCs w:val="20"/>
                  <w:shd w:fill="FFFFFF" w:val="clear"/>
                  <w:lang w:val="ru-RU" w:eastAsia="ru-RU" w:bidi="ar-SA"/>
                </w:rPr>
                <w:t>09.06.2020 №272</w:t>
              </w:r>
            </w:hyperlink>
          </w:p>
        </w:tc>
      </w:tr>
      <w:tr>
        <w:trPr>
          <w:trHeight w:val="20" w:hRule="atLeast"/>
        </w:trPr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6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NETVISION FINDER</w:t>
            </w:r>
          </w:p>
        </w:tc>
        <w:tc>
          <w:tcPr>
            <w:tcW w:w="595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Запись в реестре №6721 от 09.06.2020</w:t>
            </w:r>
          </w:p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000000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Cs w:val="20"/>
                <w:shd w:fill="FFFFFF" w:val="clear"/>
                <w:lang w:val="ru-RU" w:eastAsia="ru-RU" w:bidi="ar-SA"/>
              </w:rPr>
              <w:t>Произведена на основании приказа Министерства цифрового развития, связи и массовых коммуникаций Российской Федерации от </w:t>
            </w:r>
            <w:hyperlink r:id="rId21" w:tgtFrame="_blank">
              <w:r>
                <w:rPr>
                  <w:rStyle w:val="Style"/>
                  <w:rFonts w:eastAsia="Times New Roman" w:cs="Times New Roman"/>
                  <w:color w:val="000000"/>
                  <w:kern w:val="0"/>
                  <w:szCs w:val="20"/>
                  <w:shd w:fill="FFFFFF" w:val="clear"/>
                  <w:lang w:val="ru-RU" w:eastAsia="ru-RU" w:bidi="ar-SA"/>
                </w:rPr>
                <w:t>09.06.2020 №272</w:t>
              </w:r>
            </w:hyperlink>
          </w:p>
        </w:tc>
      </w:tr>
    </w:tbl>
    <w:p>
      <w:pPr>
        <w:pStyle w:val="Normal"/>
        <w:spacing w:lineRule="auto" w:line="276" w:before="0" w:after="200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  <w:t>Приложение №8 к Техническому заданию</w:t>
      </w:r>
    </w:p>
    <w:p>
      <w:pPr>
        <w:pStyle w:val="Normal"/>
        <w:jc w:val="end"/>
        <w:rPr>
          <w:color w:val="auto"/>
        </w:rPr>
      </w:pPr>
      <w:r>
        <w:rPr>
          <w:color w:val="auto"/>
        </w:rPr>
      </w:r>
    </w:p>
    <w:tbl>
      <w:tblPr>
        <w:tblStyle w:val="1ff8"/>
        <w:tblW w:w="10487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555"/>
        <w:gridCol w:w="15"/>
        <w:gridCol w:w="8916"/>
      </w:tblGrid>
      <w:tr>
        <w:trPr>
          <w:trHeight w:val="585" w:hRule="atLeast"/>
        </w:trPr>
        <w:tc>
          <w:tcPr>
            <w:tcW w:w="1555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8931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Местоположение светофорных объектов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 xml:space="preserve">Реверсивные светофорные объекты 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Московское шоссе (от ул. Мичурина до а/д Подъезд к г. Самара от М-5 "Урал")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Мичурина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Коммунистическая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Коммунистическая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Киевская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Киевская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Луначарского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пр. Масленникова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Революционная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 ул. Революционная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Врубеля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Врубеля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Авроры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Авроры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Потапова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Потапова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Советской Армии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Советской Армии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ул.22-го Партсъезда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ул.22-го Партсъезда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Жигулевская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Жигулевская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Ново-Вокзальная (из центра)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Ново-Вокзальная (в центр)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ООТ "7-й микрорайон"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 xml:space="preserve">Транспортно-пешеходные светофорные объекты 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Московское шоссе (от ул. Мичурина до а/д Подъезд к г. Самара от М-5 "Урал")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Мичурина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ул. Коммунистическая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Луначарского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пр. Масленникова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ул. Революционная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ул. Врубеля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ул. Авроры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ООТ "Центральный автовокзал"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ул. Потапова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Советской Армии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ул.22-го Партсъезда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Жигулевская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Ново-Вокзальная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пр. Кирова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Георгия Димитрова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Зои Космодемьянской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Ташкентская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Дальняя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Алма-Атинская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Ракитовское шоссе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 ТЦ «Letout»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ТЦ «Metro»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Северный переулок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Совхозная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Московское шоссе /  ул. Банная 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ООТ «4-й квартал»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ООТ «1-й квартал»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Московское шоссе / ул. Николая Баженова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 xml:space="preserve">Мостовой переход "Фрунзенский" через реку Самару с выходом на автомобильную дорогу </w:t>
              <w:br/>
              <w:t>"Автодорожный маршрут "Центр - Поволжье - Урал"городского округа Самара.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I этап (очередь):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от ул. Фрунзе до ул. Шоссейной, включая транспортные развязки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"Фрунзенский", ул. Комсомольская / ул. Молодогвардейская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"Фрунзенский", ул. Комсомольская / ул. Чапаевская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"Фрунзенский", ул. Комсомольская / ул. Фрунзе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"Фрунзенский", ул. Комсомольская / ул. Куйбышева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"Фрунзенский", ул. Крупской / ул. Куйбышева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"Фрунзенский", ул. Крупской / ул. Чапаевская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"Фрунзенский", ул. Шоссейная / ул. Народная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"Фрунзенский", ул. Шоссейная / ООТ «Улица Дарвина»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"Фрунзенский", ул. Шоссейная / ООТ «Ростовский переулок»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Волжский - аэропорт "Курумоч"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аэропорт "Курумоч",  п. Береза, Аэропортовское шоссе / 4-й квартал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аэропорт "Курумоч", п. Волжский, ООТ «Жилгородок»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аэропорт "Курумоч", п. Волжский, мкр. Жилгородок, 3Г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ул. Ново-Садовая (от ул. Полевой до пр. Кирова)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Полевая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Первомайская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Осипенко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Челюскинцев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Ново-Садовая/Северо-Восточная Магистраль/ул. Соколова/пр. Ленина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Ново-Садовая/пр. Масленникова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Николая Панова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Шмидта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Новомайская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«Университет. Глазная больница» (в город)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«Университет. Глазная больница» (из города)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«Центральный парк культуры и отдыха» (в город)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«Центральный парк культуры и отдыха» (из города)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«Улица Гастелло» (в город)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«Улица Гастелло» (из города)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«Комплекс профилакториев»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«Улица Советской Армии / ДК Современник»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«ТЦ Апельсин»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«Ново-Садовая улица» (ул. 22-го Партсъезда)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«Завод им. Тарасова»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«Завод им. Тарасова» (дублер ул. Ново-Садовая)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Шверника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Ново-Садовая/РЖД-Медицина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Ново-Вокзальная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Ново-Садовая/ул. Аминева/ул. Губанова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«Сквер Солнечная Поляна»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Ново-Садовая/ООТ «Барбошина поляна»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Ново-Садовая/Пр. Кирова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ул. Демократическая (от Волжского шоссе до ул. Ново-Садовой)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Демократическая/ул. Георгия Димитрова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Демократическая/ООТ «Демократическая улица» (ул. Ташкентская)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Демократическая/ООТ «Турбаза Дубки»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Демократическая/ООТ «Пионерлагерь им. Гагарина»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Демократическая/ул. Арена 2018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Демократическая/ООТ «Кладбище Сорокины Хутора»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ул. Демократическая/ООТ «Сорокины Хутора»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Волжское шоссе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Волжское шоссе/ул. Сергея Лазо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Волжское шоссе/ООТ «Сорокины Хутора»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Волжское шоссе/ООТ «Посёлок»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Волжское шоссе/ул. 2-я Стадионная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Волжское шоссе/ул. Арена 2018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Волжское шоссе/10-й проезд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Волжское шоссе/ООТ «18-й километр»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Красноглинское шоссе (от моста через р. Сок до Волжского шоссе)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шоссе/ул. Зеленодольская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шоссе/ул. Управленческая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шоссе/ул. Ногина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шоссе/ул. Симферопольская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шоссе/ул. Зеленая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шоссе/ООТ «Дома ЭМО»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шоссе/ООТ «Развилка»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шоссе/2-й Южный проезд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шоссе/ООТ «Полтавская улица»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шоссе/ООТ «Завод Электрощит»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шоссе/улица Жигули, 1Б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шоссе/ООТ «41-й километр»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шоссе/ООТ «Холодильник № 2»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Красноглинское шоссе/ООТ «Река Сок»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Волжский - Курумоч - "Урал"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Курумоч - "Урал", п. Волжский, ул. Максима Горького/ ул. Степана Разина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Курумоч - "Урал", п. Волжский, ул. Максима Горького/ ул. Школьная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Курумоч - "Урал", п. Волжский, ул. Максима Горького/ ул. Северная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Курумоч - "Урал", п. Волжский, ООТ «Переезд»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Курумоч - "Урал", с. Курумоч, ООТ «Курумоч – 1»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Курумоч - "Урал", с. Курумоч, ул. Максима Горького, 40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Волжский - Курумоч - "Урал", с. Курумоч, ООТ «Курумоч – 2»</w:t>
            </w:r>
          </w:p>
        </w:tc>
      </w:tr>
      <w:tr>
        <w:trPr/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Обход г. Самары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Обход г. Самары, п. Придорожный, ООТ "Яицкое"</w:t>
            </w:r>
          </w:p>
        </w:tc>
      </w:tr>
      <w:tr>
        <w:trPr/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Тольятти - Ягодное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Тольятти - Ягодное, с. Ягодное, ООТ "Ладья Благополучия"</w:t>
            </w:r>
          </w:p>
        </w:tc>
      </w:tr>
      <w:tr>
        <w:trPr/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Самара - Бугуруслан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Самара - Бугуруслан, г. Отрадный, ул. Железнодорожная/ул. Буровиков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Самара - Бугуруслан, г. Отрадный, ООТ СУ-2 "Востокмонтажгаз"</w:t>
            </w:r>
          </w:p>
        </w:tc>
      </w:tr>
      <w:tr>
        <w:trPr/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Самара - Бугуруслан, г. Отрадный, ул. Железнодорожная/ул. Сабирзянова</w:t>
            </w:r>
          </w:p>
        </w:tc>
      </w:tr>
      <w:tr>
        <w:trPr/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>Мостовой переход "Фрунзенский" через реку Самара с выходом на автомобильную дорогу "Автодорожный маршрут "Центр - Поволжье - Урал" городского округа Самара. II этап (очередь): от ул. Шоссейная до границы городского округа Самара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ул. Шоссейная/ул. Казачья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Новокуйбышевское шоссе ООТ "Казачий переезд"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Новокуйбышевское шоссе ООТ "4-я Кряжская"</w:t>
              <w:tab/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Новокуйбышевское шоссе/Кряжское шоссе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Пугачевский тракт ООТ "Ильинская церковь"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Пугачевский тракт ООТ "Войкова"</w:t>
              <w:tab/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Пугачевский тракт/Саратовский пер.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Пугачевский тракт/Долотный пер.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Пугачевский тракт ООТ "Бакинская"</w:t>
              <w:tab/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Пугачевский тракт ООТ "Нефтянников"</w:t>
              <w:tab/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Пугачевский тракт в районе д. 14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 xml:space="preserve">Пугачевский тракт/ул. Калининградская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Стромиловское шоссе/ул. Грозненская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Стромиловское шоссе в районе ООТ "Расширение"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 xml:space="preserve">Проспект Карла Маркса на участке от проспекта Кирова до границы городского округа Самара 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пр. Карла Маркса/Ракитовское шоссе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пр. Карла Маркса / 12-ая улица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пр. Карла Маркса / 13-ая улица</w:t>
            </w:r>
          </w:p>
        </w:tc>
      </w:tr>
      <w:tr>
        <w:trPr>
          <w:trHeight w:val="20" w:hRule="atLeast"/>
        </w:trPr>
        <w:tc>
          <w:tcPr>
            <w:tcW w:w="10486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Cs w:val="20"/>
                <w:lang w:val="ru-RU" w:eastAsia="ru-RU" w:bidi="ar-SA"/>
              </w:rPr>
              <w:tab/>
              <w:t>Автомагистраль «Центральная»</w:t>
            </w:r>
          </w:p>
        </w:tc>
      </w:tr>
      <w:tr>
        <w:trPr>
          <w:trHeight w:val="20" w:hRule="atLeast"/>
        </w:trPr>
        <w:tc>
          <w:tcPr>
            <w:tcW w:w="1570" w:type="dxa"/>
            <w:gridSpan w:val="2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0" w:after="0"/>
              <w:contextualSpacing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r>
          </w:p>
        </w:tc>
        <w:tc>
          <w:tcPr>
            <w:tcW w:w="8916" w:type="dxa"/>
            <w:tcBorders/>
          </w:tcPr>
          <w:p>
            <w:pPr>
              <w:pStyle w:val="Normal"/>
              <w:widowControl w:val="false"/>
              <w:spacing w:before="0" w:after="0"/>
              <w:jc w:val="start"/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Cs w:val="20"/>
                <w:lang w:val="ru-RU" w:eastAsia="ru-RU" w:bidi="ar-SA"/>
              </w:rPr>
              <w:t>Автомагистраль «Центральная»/ «Самара-Бугуруслан» - Петра-Дубрава</w:t>
            </w:r>
          </w:p>
        </w:tc>
      </w:tr>
    </w:tbl>
    <w:p>
      <w:pPr>
        <w:pStyle w:val="Normal"/>
        <w:spacing w:lineRule="auto" w:line="360"/>
        <w:rPr>
          <w:color w:val="auto"/>
        </w:rPr>
      </w:pPr>
      <w:r>
        <w:rPr>
          <w:color w:val="auto"/>
        </w:rPr>
      </w:r>
    </w:p>
    <w:sectPr>
      <w:headerReference w:type="even" r:id="rId22"/>
      <w:headerReference w:type="default" r:id="rId23"/>
      <w:headerReference w:type="first" r:id="rId24"/>
      <w:footerReference w:type="even" r:id="rId25"/>
      <w:footerReference w:type="default" r:id="rId26"/>
      <w:footerReference w:type="first" r:id="rId27"/>
      <w:type w:val="nextPage"/>
      <w:pgSz w:w="11906" w:h="16838"/>
      <w:pgMar w:left="568" w:right="851" w:gutter="0" w:header="357" w:top="851" w:footer="709" w:bottom="766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Consolas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  <w:font w:name="Verdana">
    <w:charset w:val="01" w:characterSet="utf-8"/>
    <w:family w:val="swiss"/>
    <w:pitch w:val="variable"/>
  </w:font>
  <w:font w:name="Consolas">
    <w:charset w:val="01" w:characterSet="utf-8"/>
    <w:family w:val="swiss"/>
    <w:pitch w:val="variable"/>
  </w:font>
  <w:font w:name="XO Thames">
    <w:charset w:val="01" w:characterSet="utf-8"/>
    <w:family w:val="roman"/>
    <w:pitch w:val="variable"/>
  </w:font>
  <w:font w:name="Times New Roman Полужирный">
    <w:charset w:val="01" w:characterSet="utf-8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end"/>
      <w:rPr/>
    </w:pPr>
    <w:r>
      <w:rPr/>
    </w:r>
  </w:p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end"/>
      <w:rPr/>
    </w:pPr>
    <w:r>
      <w:rPr/>
    </w:r>
  </w:p>
  <w:p>
    <w:pPr>
      <w:pStyle w:val="Normal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end"/>
      <w:rPr/>
    </w:pPr>
    <w:r>
      <w:rPr/>
    </w:r>
  </w:p>
  <w:p>
    <w:pPr>
      <w:pStyle w:val="Normal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end"/>
      <w:rPr/>
    </w:pPr>
    <w:r>
      <w:rPr/>
    </w:r>
  </w:p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644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364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084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04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524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244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964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684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04" w:hanging="180"/>
      </w:pPr>
      <w:rPr/>
    </w:lvl>
  </w:abstractNum>
  <w:abstractNum w:abstractNumId="2">
    <w:lvl w:ilvl="0"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2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0"/>
        </w:tabs>
        <w:ind w:start="928" w:hanging="360"/>
      </w:pPr>
      <w:rPr>
        <w:b w:val="false"/>
        <w:color w:val="000000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2988" w:hanging="72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572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16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50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144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428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072" w:hanging="1800"/>
      </w:pPr>
      <w:rPr/>
    </w:lvl>
  </w:abstractNum>
  <w:abstractNum w:abstractNumId="4">
    <w:lvl w:ilvl="0"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7">
    <w:lvl w:ilvl="0"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8">
    <w:lvl w:ilvl="0"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2"/>
      <w:numFmt w:val="decimal"/>
      <w:lvlText w:val="%1.%2."/>
      <w:lvlJc w:val="start"/>
      <w:pPr>
        <w:tabs>
          <w:tab w:val="num" w:pos="0"/>
        </w:tabs>
        <w:ind w:start="360" w:hanging="360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720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1080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108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1440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1800" w:hanging="1800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0"/>
        </w:tabs>
        <w:ind w:star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suff w:val="space"/>
      <w:lvlText w:val="Приложение %1"/>
      <w:lvlJc w:val="start"/>
      <w:pPr>
        <w:tabs>
          <w:tab w:val="num" w:pos="0"/>
        </w:tabs>
        <w:ind w:start="4679" w:hanging="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2."/>
      <w:lvlJc w:val="start"/>
      <w:pPr>
        <w:tabs>
          <w:tab w:val="num" w:pos="0"/>
        </w:tabs>
        <w:ind w:start="3544" w:firstLine="709"/>
      </w:pPr>
      <w:rPr>
        <w:b/>
        <w:bCs/>
      </w:rPr>
    </w:lvl>
    <w:lvl w:ilvl="2">
      <w:start w:val="1"/>
      <w:numFmt w:val="decimal"/>
      <w:suff w:val="space"/>
      <w:lvlText w:val="%2.%3."/>
      <w:lvlJc w:val="start"/>
      <w:pPr>
        <w:tabs>
          <w:tab w:val="num" w:pos="0"/>
        </w:tabs>
        <w:ind w:start="1" w:firstLine="709"/>
      </w:pPr>
      <w:rPr/>
    </w:lvl>
    <w:lvl w:ilvl="3">
      <w:start w:val="1"/>
      <w:numFmt w:val="decimal"/>
      <w:suff w:val="space"/>
      <w:lvlText w:val="%2.%3.%4."/>
      <w:lvlJc w:val="start"/>
      <w:pPr>
        <w:tabs>
          <w:tab w:val="num" w:pos="0"/>
        </w:tabs>
        <w:ind w:start="0" w:firstLine="709"/>
      </w:pPr>
      <w:rPr/>
    </w:lvl>
    <w:lvl w:ilvl="4">
      <w:start w:val="1"/>
      <w:numFmt w:val="decimal"/>
      <w:suff w:val="space"/>
      <w:lvlText w:val="%2.%3.%4.%5."/>
      <w:lvlJc w:val="start"/>
      <w:pPr>
        <w:tabs>
          <w:tab w:val="num" w:pos="0"/>
        </w:tabs>
        <w:ind w:start="0" w:firstLine="709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1"/>
    <w:qFormat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7"/>
    <w:uiPriority w:val="9"/>
    <w:qFormat/>
    <w:pPr>
      <w:keepNext w:val="true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29"/>
    <w:uiPriority w:val="9"/>
    <w:qFormat/>
    <w:pPr>
      <w:keepNext w:val="true"/>
      <w:spacing w:before="326" w:after="0"/>
      <w:ind w:end="62"/>
      <w:jc w:val="end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32"/>
    <w:uiPriority w:val="9"/>
    <w:qFormat/>
    <w:pPr>
      <w:keepNext w:val="true"/>
      <w:jc w:val="both"/>
      <w:outlineLvl w:val="2"/>
    </w:pPr>
    <w:rPr/>
  </w:style>
  <w:style w:type="paragraph" w:styleId="Heading4">
    <w:name w:val="heading 4"/>
    <w:basedOn w:val="Normal"/>
    <w:next w:val="Normal"/>
    <w:link w:val="44"/>
    <w:uiPriority w:val="9"/>
    <w:qFormat/>
    <w:pPr>
      <w:keepNext w:val="true"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52"/>
    <w:uiPriority w:val="9"/>
    <w:qFormat/>
    <w:pPr>
      <w:keepNext w:val="true"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62"/>
    <w:uiPriority w:val="9"/>
    <w:qFormat/>
    <w:pPr>
      <w:keepNext w:val="true"/>
      <w:keepLines/>
      <w:spacing w:before="40" w:after="0"/>
      <w:outlineLvl w:val="5"/>
    </w:pPr>
    <w:rPr>
      <w:rFonts w:ascii="Arial" w:hAnsi="Arial"/>
      <w:i/>
      <w:color w:themeColor="text1" w:themeTint="a6" w:val="595959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color w:val="40404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outlineLvl w:val="7"/>
    </w:pPr>
    <w:rPr>
      <w:rFonts w:ascii="Arial" w:hAnsi="Arial"/>
      <w:i/>
      <w:color w:themeColor="text1" w:themeTint="d8" w:val="272727"/>
    </w:rPr>
  </w:style>
  <w:style w:type="paragraph" w:styleId="Heading9">
    <w:name w:val="heading 9"/>
    <w:basedOn w:val="Normal"/>
    <w:next w:val="Normal"/>
    <w:link w:val="9"/>
    <w:uiPriority w:val="9"/>
    <w:qFormat/>
    <w:pPr>
      <w:keepNext w:val="true"/>
      <w:keepLines/>
      <w:outlineLvl w:val="8"/>
    </w:pPr>
    <w:rPr>
      <w:rFonts w:ascii="Arial" w:hAnsi="Arial"/>
      <w:i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бычный1"/>
    <w:link w:val="1112"/>
    <w:qFormat/>
    <w:rPr>
      <w:rFonts w:ascii="Arial" w:hAnsi="Arial"/>
      <w:sz w:val="20"/>
    </w:rPr>
  </w:style>
  <w:style w:type="character" w:styleId="xl79" w:customStyle="1">
    <w:name w:val="xl79"/>
    <w:basedOn w:val="1"/>
    <w:link w:val="xl791"/>
    <w:qFormat/>
    <w:rPr>
      <w:rFonts w:ascii="Times New Roman" w:hAnsi="Times New Roman"/>
      <w:b/>
      <w:sz w:val="22"/>
    </w:rPr>
  </w:style>
  <w:style w:type="character" w:styleId="xl114" w:customStyle="1">
    <w:name w:val="xl114"/>
    <w:basedOn w:val="1"/>
    <w:link w:val="xl1141"/>
    <w:qFormat/>
    <w:rPr>
      <w:rFonts w:ascii="Times New Roman" w:hAnsi="Times New Roman"/>
      <w:b/>
      <w:sz w:val="22"/>
    </w:rPr>
  </w:style>
  <w:style w:type="character" w:styleId="Style5" w:customStyle="1">
    <w:name w:val="Текст примечания Знак"/>
    <w:basedOn w:val="1"/>
    <w:qFormat/>
    <w:rPr>
      <w:rFonts w:ascii="Times New Roman" w:hAnsi="Times New Roman"/>
      <w:sz w:val="20"/>
    </w:rPr>
  </w:style>
  <w:style w:type="character" w:styleId="2" w:customStyle="1">
    <w:name w:val="Оглавление 2 Знак"/>
    <w:basedOn w:val="1"/>
    <w:qFormat/>
    <w:rPr>
      <w:rFonts w:ascii="Times New Roman" w:hAnsi="Times New Roman"/>
      <w:sz w:val="24"/>
    </w:rPr>
  </w:style>
  <w:style w:type="character" w:styleId="xl81" w:customStyle="1">
    <w:name w:val="xl81"/>
    <w:basedOn w:val="1"/>
    <w:link w:val="xl811"/>
    <w:qFormat/>
    <w:rPr>
      <w:rFonts w:ascii="Times New Roman" w:hAnsi="Times New Roman"/>
      <w:sz w:val="22"/>
    </w:rPr>
  </w:style>
  <w:style w:type="character" w:styleId="xl112" w:customStyle="1">
    <w:name w:val="xl112"/>
    <w:basedOn w:val="1"/>
    <w:link w:val="xl1121"/>
    <w:qFormat/>
    <w:rPr>
      <w:rFonts w:ascii="Times New Roman" w:hAnsi="Times New Roman"/>
      <w:b/>
      <w:sz w:val="22"/>
    </w:rPr>
  </w:style>
  <w:style w:type="character" w:styleId="Heading1Char" w:customStyle="1">
    <w:name w:val="Heading 1 Char"/>
    <w:basedOn w:val="DefaultParagraphFont"/>
    <w:link w:val="Heading1Char1"/>
    <w:qFormat/>
    <w:rPr>
      <w:rFonts w:ascii="Arial" w:hAnsi="Arial"/>
      <w:color w:themeColor="accent1" w:themeShade="bf" w:val="365F91"/>
      <w:sz w:val="40"/>
    </w:rPr>
  </w:style>
  <w:style w:type="character" w:styleId="Style6" w:customStyle="1">
    <w:name w:val="Style6"/>
    <w:basedOn w:val="1"/>
    <w:link w:val="Style61"/>
    <w:qFormat/>
    <w:rPr>
      <w:rFonts w:ascii="Times New Roman" w:hAnsi="Times New Roman"/>
      <w:sz w:val="24"/>
    </w:rPr>
  </w:style>
  <w:style w:type="character" w:styleId="11" w:customStyle="1">
    <w:name w:val="Абзац списка1"/>
    <w:basedOn w:val="1"/>
    <w:link w:val="121"/>
    <w:qFormat/>
    <w:rPr>
      <w:rFonts w:ascii="Times New Roman" w:hAnsi="Times New Roman"/>
      <w:sz w:val="24"/>
    </w:rPr>
  </w:style>
  <w:style w:type="character" w:styleId="FollowedHyperlink">
    <w:name w:val="FollowedHyperlink"/>
    <w:basedOn w:val="DefaultParagraphFont"/>
    <w:link w:val="114"/>
    <w:rPr>
      <w:color w:themeColor="followedHyperlink" w:val="800080"/>
      <w:u w:val="single"/>
    </w:rPr>
  </w:style>
  <w:style w:type="character" w:styleId="Style7">
    <w:name w:val="Символ концевой сноски"/>
    <w:basedOn w:val="DefaultParagraphFont"/>
    <w:link w:val="115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4" w:customStyle="1">
    <w:name w:val="Оглавление 4 Знак"/>
    <w:basedOn w:val="1"/>
    <w:qFormat/>
    <w:rPr>
      <w:rFonts w:ascii="Times New Roman" w:hAnsi="Times New Roman"/>
      <w:sz w:val="24"/>
    </w:rPr>
  </w:style>
  <w:style w:type="character" w:styleId="41" w:customStyle="1">
    <w:name w:val="Стиль4"/>
    <w:basedOn w:val="1"/>
    <w:link w:val="411"/>
    <w:qFormat/>
    <w:rPr>
      <w:rFonts w:ascii="Arial" w:hAnsi="Arial"/>
      <w:sz w:val="24"/>
    </w:rPr>
  </w:style>
  <w:style w:type="character" w:styleId="12" w:customStyle="1">
    <w:name w:val="Знак1"/>
    <w:basedOn w:val="1"/>
    <w:link w:val="116"/>
    <w:qFormat/>
    <w:rPr>
      <w:rFonts w:ascii="Times New Roman" w:hAnsi="Times New Roman"/>
      <w:sz w:val="24"/>
    </w:rPr>
  </w:style>
  <w:style w:type="character" w:styleId="7" w:customStyle="1">
    <w:name w:val="Заголовок 7 Знак"/>
    <w:basedOn w:val="1"/>
    <w:qFormat/>
    <w:rPr>
      <w:rFonts w:ascii="Cambria" w:hAnsi="Cambria"/>
      <w:i/>
      <w:color w:val="404040"/>
      <w:sz w:val="24"/>
    </w:rPr>
  </w:style>
  <w:style w:type="character" w:styleId="21" w:customStyle="1">
    <w:name w:val="Абзац списка2"/>
    <w:basedOn w:val="1"/>
    <w:link w:val="211"/>
    <w:qFormat/>
    <w:rPr>
      <w:rFonts w:ascii="Times New Roman" w:hAnsi="Times New Roman"/>
      <w:sz w:val="24"/>
    </w:rPr>
  </w:style>
  <w:style w:type="character" w:styleId="BookTitle">
    <w:name w:val="Book Title"/>
    <w:basedOn w:val="DefaultParagraphFont"/>
    <w:link w:val="117"/>
    <w:qFormat/>
    <w:rPr>
      <w:b/>
      <w:i/>
      <w:spacing w:val="5"/>
    </w:rPr>
  </w:style>
  <w:style w:type="character" w:styleId="Style8" w:customStyle="1">
    <w:name w:val="Подпункт"/>
    <w:basedOn w:val="Style29"/>
    <w:link w:val="118"/>
    <w:qFormat/>
    <w:rPr>
      <w:rFonts w:ascii="Times New Roman" w:hAnsi="Times New Roman"/>
      <w:sz w:val="24"/>
    </w:rPr>
  </w:style>
  <w:style w:type="character" w:styleId="111" w:customStyle="1">
    <w:name w:val="Без интервала11"/>
    <w:link w:val="1111"/>
    <w:qFormat/>
    <w:rPr>
      <w:rFonts w:ascii="Calibri" w:hAnsi="Calibri"/>
    </w:rPr>
  </w:style>
  <w:style w:type="character" w:styleId="6" w:customStyle="1">
    <w:name w:val="Оглавление 6 Знак"/>
    <w:basedOn w:val="1"/>
    <w:qFormat/>
    <w:rPr>
      <w:rFonts w:ascii="Times New Roman" w:hAnsi="Times New Roman"/>
      <w:sz w:val="24"/>
    </w:rPr>
  </w:style>
  <w:style w:type="character" w:styleId="3" w:customStyle="1">
    <w:name w:val="Основной текст3"/>
    <w:basedOn w:val="1"/>
    <w:link w:val="312"/>
    <w:qFormat/>
    <w:rPr>
      <w:rFonts w:ascii="Calibri" w:hAnsi="Calibri" w:asciiTheme="minorHAnsi" w:hAnsiTheme="minorHAnsi"/>
      <w:sz w:val="23"/>
    </w:rPr>
  </w:style>
  <w:style w:type="character" w:styleId="71" w:customStyle="1">
    <w:name w:val="Оглавление 7 Знак"/>
    <w:basedOn w:val="1"/>
    <w:qFormat/>
    <w:rPr>
      <w:rFonts w:ascii="Times New Roman" w:hAnsi="Times New Roman"/>
      <w:sz w:val="24"/>
    </w:rPr>
  </w:style>
  <w:style w:type="character" w:styleId="ConsNormal" w:customStyle="1">
    <w:name w:val="ConsNormal"/>
    <w:link w:val="ConsNormal1"/>
    <w:qFormat/>
    <w:rPr>
      <w:rFonts w:ascii="Arial" w:hAnsi="Arial"/>
      <w:sz w:val="20"/>
    </w:rPr>
  </w:style>
  <w:style w:type="character" w:styleId="31" w:customStyle="1">
    <w:name w:val="Без интервала3"/>
    <w:link w:val="313"/>
    <w:qFormat/>
    <w:rPr>
      <w:rFonts w:ascii="Calibri" w:hAnsi="Calibri"/>
    </w:rPr>
  </w:style>
  <w:style w:type="character" w:styleId="13" w:customStyle="1">
    <w:name w:val="Текст Знак1"/>
    <w:basedOn w:val="DefaultParagraphFont"/>
    <w:link w:val="119"/>
    <w:qFormat/>
    <w:rPr>
      <w:rFonts w:ascii="Consolas" w:hAnsi="Consolas"/>
      <w:sz w:val="21"/>
    </w:rPr>
  </w:style>
  <w:style w:type="character" w:styleId="xl108" w:customStyle="1">
    <w:name w:val="xl108"/>
    <w:basedOn w:val="1"/>
    <w:link w:val="xl1081"/>
    <w:qFormat/>
    <w:rPr>
      <w:rFonts w:ascii="Times New Roman" w:hAnsi="Times New Roman"/>
      <w:b/>
      <w:color w:val="000000"/>
      <w:sz w:val="22"/>
    </w:rPr>
  </w:style>
  <w:style w:type="character" w:styleId="Style9" w:customStyle="1">
    <w:name w:val="Абзац списка Знак"/>
    <w:basedOn w:val="1"/>
    <w:link w:val="ListParagraph"/>
    <w:uiPriority w:val="34"/>
    <w:qFormat/>
    <w:rPr>
      <w:rFonts w:ascii="Times New Roman" w:hAnsi="Times New Roman"/>
      <w:sz w:val="24"/>
    </w:rPr>
  </w:style>
  <w:style w:type="character" w:styleId="Style10" w:customStyle="1">
    <w:name w:val="Верхний колонтитул Знак"/>
    <w:basedOn w:val="1"/>
    <w:qFormat/>
    <w:rPr>
      <w:rFonts w:ascii="Times New Roman" w:hAnsi="Times New Roman"/>
      <w:sz w:val="24"/>
    </w:rPr>
  </w:style>
  <w:style w:type="character" w:styleId="22" w:customStyle="1">
    <w:name w:val="Без интервала2"/>
    <w:link w:val="212"/>
    <w:qFormat/>
    <w:rPr>
      <w:rFonts w:ascii="Calibri" w:hAnsi="Calibri"/>
    </w:rPr>
  </w:style>
  <w:style w:type="character" w:styleId="Style11" w:customStyle="1">
    <w:name w:val="Выделенная цитата Знак"/>
    <w:basedOn w:val="1"/>
    <w:link w:val="IntenseQuote"/>
    <w:qFormat/>
    <w:rPr>
      <w:rFonts w:ascii="Times New Roman" w:hAnsi="Times New Roman"/>
      <w:i/>
      <w:color w:themeColor="accent1" w:themeShade="bf" w:val="365F91"/>
      <w:sz w:val="24"/>
    </w:rPr>
  </w:style>
  <w:style w:type="character" w:styleId="xl86" w:customStyle="1">
    <w:name w:val="xl86"/>
    <w:basedOn w:val="1"/>
    <w:link w:val="xl861"/>
    <w:qFormat/>
    <w:rPr>
      <w:rFonts w:ascii="Times New Roman" w:hAnsi="Times New Roman"/>
      <w:sz w:val="22"/>
    </w:rPr>
  </w:style>
  <w:style w:type="character" w:styleId="23" w:customStyle="1">
    <w:name w:val="Стиль2"/>
    <w:basedOn w:val="27"/>
    <w:link w:val="213"/>
    <w:qFormat/>
    <w:rPr>
      <w:rFonts w:ascii="Times New Roman" w:hAnsi="Times New Roman"/>
      <w:b/>
      <w:sz w:val="24"/>
    </w:rPr>
  </w:style>
  <w:style w:type="character" w:styleId="Endnote" w:customStyle="1">
    <w:name w:val="Endnote"/>
    <w:basedOn w:val="1"/>
    <w:link w:val="Endnote1"/>
    <w:qFormat/>
    <w:rPr>
      <w:rFonts w:ascii="Times New Roman" w:hAnsi="Times New Roman"/>
      <w:sz w:val="20"/>
    </w:rPr>
  </w:style>
  <w:style w:type="character" w:styleId="32" w:customStyle="1">
    <w:name w:val="Заголовок 3 Знак"/>
    <w:basedOn w:val="1"/>
    <w:qFormat/>
    <w:rPr>
      <w:rFonts w:ascii="Times New Roman" w:hAnsi="Times New Roman"/>
      <w:color w:val="000000"/>
      <w:sz w:val="24"/>
    </w:rPr>
  </w:style>
  <w:style w:type="character" w:styleId="Style12" w:customStyle="1">
    <w:name w:val="Текст выноски Знак"/>
    <w:basedOn w:val="1"/>
    <w:link w:val="BalloonText"/>
    <w:qFormat/>
    <w:rPr>
      <w:rFonts w:ascii="Tahoma" w:hAnsi="Tahoma"/>
      <w:sz w:val="16"/>
    </w:rPr>
  </w:style>
  <w:style w:type="character" w:styleId="xl103" w:customStyle="1">
    <w:name w:val="xl103"/>
    <w:basedOn w:val="1"/>
    <w:link w:val="xl1031"/>
    <w:qFormat/>
    <w:rPr>
      <w:rFonts w:ascii="Times New Roman" w:hAnsi="Times New Roman"/>
      <w:b/>
      <w:sz w:val="22"/>
    </w:rPr>
  </w:style>
  <w:style w:type="character" w:styleId="14" w:customStyle="1">
    <w:name w:val="Текст выноски Знак1"/>
    <w:basedOn w:val="DefaultParagraphFont"/>
    <w:link w:val="1110"/>
    <w:qFormat/>
    <w:rPr>
      <w:rFonts w:ascii="Tahoma" w:hAnsi="Tahoma"/>
      <w:sz w:val="16"/>
    </w:rPr>
  </w:style>
  <w:style w:type="character" w:styleId="Style13" w:customStyle="1">
    <w:name w:val="Заголовок оглавления Знак"/>
    <w:qFormat/>
    <w:rPr/>
  </w:style>
  <w:style w:type="character" w:styleId="xl82" w:customStyle="1">
    <w:name w:val="xl82"/>
    <w:basedOn w:val="1"/>
    <w:link w:val="xl821"/>
    <w:qFormat/>
    <w:rPr>
      <w:rFonts w:ascii="Times New Roman" w:hAnsi="Times New Roman"/>
      <w:sz w:val="22"/>
    </w:rPr>
  </w:style>
  <w:style w:type="character" w:styleId="xl97" w:customStyle="1">
    <w:name w:val="xl97"/>
    <w:basedOn w:val="1"/>
    <w:link w:val="xl971"/>
    <w:qFormat/>
    <w:rPr>
      <w:rFonts w:ascii="Times New Roman" w:hAnsi="Times New Roman"/>
      <w:b/>
      <w:sz w:val="22"/>
    </w:rPr>
  </w:style>
  <w:style w:type="character" w:styleId="xl77" w:customStyle="1">
    <w:name w:val="xl77"/>
    <w:basedOn w:val="1"/>
    <w:link w:val="xl771"/>
    <w:qFormat/>
    <w:rPr>
      <w:rFonts w:ascii="Times New Roman" w:hAnsi="Times New Roman"/>
      <w:sz w:val="22"/>
    </w:rPr>
  </w:style>
  <w:style w:type="character" w:styleId="xl106" w:customStyle="1">
    <w:name w:val="xl106"/>
    <w:basedOn w:val="1"/>
    <w:link w:val="xl1061"/>
    <w:qFormat/>
    <w:rPr>
      <w:rFonts w:ascii="Times New Roman" w:hAnsi="Times New Roman"/>
      <w:b/>
      <w:sz w:val="22"/>
    </w:rPr>
  </w:style>
  <w:style w:type="character" w:styleId="ConsNonformat" w:customStyle="1">
    <w:name w:val="ConsNonformat"/>
    <w:link w:val="ConsNonformat1"/>
    <w:qFormat/>
    <w:rPr>
      <w:rFonts w:ascii="Courier New" w:hAnsi="Courier New"/>
      <w:sz w:val="20"/>
    </w:rPr>
  </w:style>
  <w:style w:type="character" w:styleId="Style14" w:customStyle="1">
    <w:name w:val="Основной текст Знак"/>
    <w:basedOn w:val="1"/>
    <w:qFormat/>
    <w:rPr>
      <w:rFonts w:ascii="Times New Roman" w:hAnsi="Times New Roman"/>
      <w:sz w:val="24"/>
    </w:rPr>
  </w:style>
  <w:style w:type="character" w:styleId="xl89" w:customStyle="1">
    <w:name w:val="xl89"/>
    <w:basedOn w:val="1"/>
    <w:link w:val="xl891"/>
    <w:qFormat/>
    <w:rPr>
      <w:rFonts w:ascii="Times New Roman" w:hAnsi="Times New Roman"/>
      <w:color w:val="000000"/>
      <w:sz w:val="22"/>
    </w:rPr>
  </w:style>
  <w:style w:type="character" w:styleId="5" w:customStyle="1">
    <w:name w:val="Знак Знак Знак Знак5"/>
    <w:basedOn w:val="1"/>
    <w:link w:val="511"/>
    <w:qFormat/>
    <w:rPr>
      <w:rFonts w:ascii="Verdana" w:hAnsi="Verdana"/>
      <w:sz w:val="20"/>
    </w:rPr>
  </w:style>
  <w:style w:type="character" w:styleId="xl94" w:customStyle="1">
    <w:name w:val="xl94"/>
    <w:basedOn w:val="1"/>
    <w:link w:val="xl941"/>
    <w:qFormat/>
    <w:rPr>
      <w:rFonts w:ascii="Times New Roman" w:hAnsi="Times New Roman"/>
      <w:b/>
      <w:sz w:val="22"/>
    </w:rPr>
  </w:style>
  <w:style w:type="character" w:styleId="blk1" w:customStyle="1">
    <w:name w:val="blk1"/>
    <w:basedOn w:val="DefaultParagraphFont"/>
    <w:link w:val="blk11"/>
    <w:qFormat/>
    <w:rPr/>
  </w:style>
  <w:style w:type="character" w:styleId="24" w:customStyle="1">
    <w:name w:val="Цитата 2 Знак"/>
    <w:basedOn w:val="1"/>
    <w:link w:val="Quote"/>
    <w:qFormat/>
    <w:rPr>
      <w:rFonts w:ascii="Times New Roman" w:hAnsi="Times New Roman"/>
      <w:i/>
      <w:color w:themeColor="text1" w:themeTint="bf" w:val="404040"/>
      <w:sz w:val="24"/>
    </w:rPr>
  </w:style>
  <w:style w:type="character" w:styleId="xl107" w:customStyle="1">
    <w:name w:val="xl107"/>
    <w:basedOn w:val="1"/>
    <w:link w:val="xl1071"/>
    <w:qFormat/>
    <w:rPr>
      <w:rFonts w:ascii="Times New Roman" w:hAnsi="Times New Roman"/>
      <w:b/>
      <w:sz w:val="22"/>
    </w:rPr>
  </w:style>
  <w:style w:type="character" w:styleId="42" w:customStyle="1">
    <w:name w:val="Знак Знак Знак Знак4"/>
    <w:basedOn w:val="1"/>
    <w:link w:val="412"/>
    <w:qFormat/>
    <w:rPr>
      <w:rFonts w:ascii="Verdana" w:hAnsi="Verdana"/>
      <w:sz w:val="20"/>
    </w:rPr>
  </w:style>
  <w:style w:type="character" w:styleId="xl91" w:customStyle="1">
    <w:name w:val="xl91"/>
    <w:basedOn w:val="1"/>
    <w:link w:val="xl911"/>
    <w:qFormat/>
    <w:rPr>
      <w:rFonts w:ascii="Times New Roman" w:hAnsi="Times New Roman"/>
      <w:sz w:val="22"/>
    </w:rPr>
  </w:style>
  <w:style w:type="character" w:styleId="ConsPlusDocList" w:customStyle="1">
    <w:name w:val="ConsPlusDocList"/>
    <w:link w:val="ConsPlusDocList1"/>
    <w:qFormat/>
    <w:rPr>
      <w:rFonts w:ascii="Courier New" w:hAnsi="Courier New"/>
      <w:sz w:val="20"/>
    </w:rPr>
  </w:style>
  <w:style w:type="character" w:styleId="xl83" w:customStyle="1">
    <w:name w:val="xl83"/>
    <w:basedOn w:val="1"/>
    <w:link w:val="xl831"/>
    <w:qFormat/>
    <w:rPr>
      <w:rFonts w:ascii="Times New Roman" w:hAnsi="Times New Roman"/>
      <w:sz w:val="22"/>
    </w:rPr>
  </w:style>
  <w:style w:type="character" w:styleId="Normal1" w:customStyle="1">
    <w:name w:val="Normal1"/>
    <w:link w:val="Normal11"/>
    <w:qFormat/>
    <w:rPr>
      <w:rFonts w:ascii="Arial" w:hAnsi="Arial"/>
      <w:sz w:val="20"/>
    </w:rPr>
  </w:style>
  <w:style w:type="character" w:styleId="9" w:customStyle="1">
    <w:name w:val="Заголовок 9 Знак"/>
    <w:basedOn w:val="1"/>
    <w:qFormat/>
    <w:rPr>
      <w:rFonts w:ascii="Arial" w:hAnsi="Arial"/>
      <w:i/>
      <w:color w:themeColor="text1" w:themeTint="d8" w:val="272727"/>
      <w:sz w:val="24"/>
    </w:rPr>
  </w:style>
  <w:style w:type="character" w:styleId="Style15" w:customStyle="1">
    <w:name w:val="Содержимое таблицы"/>
    <w:basedOn w:val="1"/>
    <w:link w:val="137"/>
    <w:qFormat/>
    <w:rPr>
      <w:rFonts w:ascii="Times New Roman" w:hAnsi="Times New Roman"/>
      <w:sz w:val="24"/>
    </w:rPr>
  </w:style>
  <w:style w:type="character" w:styleId="33" w:customStyle="1">
    <w:name w:val="Основной текст 3 Знак"/>
    <w:basedOn w:val="1"/>
    <w:link w:val="BodyText3"/>
    <w:qFormat/>
    <w:rPr>
      <w:rFonts w:ascii="Times New Roman" w:hAnsi="Times New Roman"/>
      <w:sz w:val="16"/>
    </w:rPr>
  </w:style>
  <w:style w:type="character" w:styleId="Heading" w:customStyle="1">
    <w:name w:val="Heading"/>
    <w:qFormat/>
    <w:rPr>
      <w:rFonts w:ascii="Arial" w:hAnsi="Arial"/>
      <w:b/>
    </w:rPr>
  </w:style>
  <w:style w:type="character" w:styleId="SubtleReference">
    <w:name w:val="Subtle Reference"/>
    <w:basedOn w:val="DefaultParagraphFont"/>
    <w:link w:val="120"/>
    <w:qFormat/>
    <w:rPr>
      <w:smallCaps/>
      <w:color w:themeColor="text1" w:themeTint="a5" w:val="5A5A5A"/>
    </w:rPr>
  </w:style>
  <w:style w:type="character" w:styleId="Strong">
    <w:name w:val="Strong"/>
    <w:basedOn w:val="DefaultParagraphFont"/>
    <w:link w:val="122"/>
    <w:qFormat/>
    <w:rPr>
      <w:b/>
    </w:rPr>
  </w:style>
  <w:style w:type="character" w:styleId="15" w:customStyle="1">
    <w:name w:val="Стиль1"/>
    <w:basedOn w:val="1"/>
    <w:link w:val="1113"/>
    <w:qFormat/>
    <w:rPr>
      <w:rFonts w:ascii="Times New Roman" w:hAnsi="Times New Roman"/>
      <w:b/>
      <w:sz w:val="28"/>
    </w:rPr>
  </w:style>
  <w:style w:type="character" w:styleId="34" w:customStyle="1">
    <w:name w:val="Стиль3"/>
    <w:basedOn w:val="25"/>
    <w:link w:val="314"/>
    <w:qFormat/>
    <w:rPr>
      <w:rFonts w:ascii="Times New Roman" w:hAnsi="Times New Roman"/>
      <w:sz w:val="24"/>
    </w:rPr>
  </w:style>
  <w:style w:type="character" w:styleId="25" w:customStyle="1">
    <w:name w:val="Основной текст с отступом 2 Знак"/>
    <w:basedOn w:val="1"/>
    <w:link w:val="BodyTextIndent2"/>
    <w:qFormat/>
    <w:rPr>
      <w:rFonts w:ascii="Times New Roman" w:hAnsi="Times New Roman"/>
      <w:sz w:val="22"/>
    </w:rPr>
  </w:style>
  <w:style w:type="character" w:styleId="xl87" w:customStyle="1">
    <w:name w:val="xl87"/>
    <w:basedOn w:val="1"/>
    <w:link w:val="xl871"/>
    <w:qFormat/>
    <w:rPr>
      <w:rFonts w:ascii="Times New Roman" w:hAnsi="Times New Roman"/>
      <w:b/>
      <w:sz w:val="22"/>
    </w:rPr>
  </w:style>
  <w:style w:type="character" w:styleId="26" w:customStyle="1">
    <w:name w:val="Знак Знак Знак Знак2"/>
    <w:basedOn w:val="1"/>
    <w:link w:val="214"/>
    <w:qFormat/>
    <w:rPr>
      <w:rFonts w:ascii="Verdana" w:hAnsi="Verdana"/>
      <w:sz w:val="20"/>
    </w:rPr>
  </w:style>
  <w:style w:type="character" w:styleId="xl95" w:customStyle="1">
    <w:name w:val="xl95"/>
    <w:basedOn w:val="1"/>
    <w:link w:val="xl951"/>
    <w:qFormat/>
    <w:rPr>
      <w:rFonts w:ascii="Times New Roman" w:hAnsi="Times New Roman"/>
      <w:i/>
      <w:sz w:val="22"/>
    </w:rPr>
  </w:style>
  <w:style w:type="character" w:styleId="xl96" w:customStyle="1">
    <w:name w:val="xl96"/>
    <w:basedOn w:val="1"/>
    <w:link w:val="xl961"/>
    <w:qFormat/>
    <w:rPr>
      <w:rFonts w:ascii="Times New Roman" w:hAnsi="Times New Roman"/>
      <w:b/>
      <w:sz w:val="22"/>
    </w:rPr>
  </w:style>
  <w:style w:type="character" w:styleId="61" w:customStyle="1">
    <w:name w:val="Знак Знак Знак Знак6"/>
    <w:basedOn w:val="1"/>
    <w:link w:val="611"/>
    <w:qFormat/>
    <w:rPr>
      <w:rFonts w:ascii="Verdana" w:hAnsi="Verdana"/>
      <w:sz w:val="20"/>
    </w:rPr>
  </w:style>
  <w:style w:type="character" w:styleId="Heading3Char" w:customStyle="1">
    <w:name w:val="Heading 3 Char"/>
    <w:basedOn w:val="DefaultParagraphFont"/>
    <w:link w:val="Heading3Char1"/>
    <w:qFormat/>
    <w:rPr>
      <w:rFonts w:ascii="Arial" w:hAnsi="Arial"/>
      <w:color w:themeColor="accent1" w:themeShade="bf" w:val="365F91"/>
      <w:sz w:val="28"/>
    </w:rPr>
  </w:style>
  <w:style w:type="character" w:styleId="xl75" w:customStyle="1">
    <w:name w:val="xl75"/>
    <w:basedOn w:val="1"/>
    <w:link w:val="xl751"/>
    <w:qFormat/>
    <w:rPr>
      <w:rFonts w:ascii="Times New Roman" w:hAnsi="Times New Roman"/>
      <w:sz w:val="22"/>
    </w:rPr>
  </w:style>
  <w:style w:type="character" w:styleId="HeaderChar" w:customStyle="1">
    <w:name w:val="Header Char"/>
    <w:basedOn w:val="DefaultParagraphFont"/>
    <w:link w:val="HeaderChar1"/>
    <w:qFormat/>
    <w:rPr/>
  </w:style>
  <w:style w:type="character" w:styleId="xl76" w:customStyle="1">
    <w:name w:val="xl76"/>
    <w:basedOn w:val="1"/>
    <w:link w:val="xl761"/>
    <w:qFormat/>
    <w:rPr>
      <w:rFonts w:ascii="Times New Roman" w:hAnsi="Times New Roman"/>
      <w:sz w:val="22"/>
    </w:rPr>
  </w:style>
  <w:style w:type="character" w:styleId="51" w:customStyle="1">
    <w:name w:val="Абзац списка5"/>
    <w:basedOn w:val="1"/>
    <w:link w:val="512"/>
    <w:qFormat/>
    <w:rPr>
      <w:rFonts w:ascii="Times New Roman" w:hAnsi="Times New Roman"/>
      <w:sz w:val="24"/>
    </w:rPr>
  </w:style>
  <w:style w:type="character" w:styleId="35" w:customStyle="1">
    <w:name w:val="Оглавление 3 Знак"/>
    <w:basedOn w:val="1"/>
    <w:qFormat/>
    <w:rPr>
      <w:rFonts w:ascii="Times New Roman" w:hAnsi="Times New Roman"/>
      <w:sz w:val="24"/>
    </w:rPr>
  </w:style>
  <w:style w:type="character" w:styleId="xl80" w:customStyle="1">
    <w:name w:val="xl80"/>
    <w:basedOn w:val="1"/>
    <w:link w:val="xl801"/>
    <w:qFormat/>
    <w:rPr>
      <w:rFonts w:ascii="Times New Roman" w:hAnsi="Times New Roman"/>
      <w:sz w:val="22"/>
    </w:rPr>
  </w:style>
  <w:style w:type="character" w:styleId="36" w:customStyle="1">
    <w:name w:val="Список 3 Знак"/>
    <w:basedOn w:val="1"/>
    <w:link w:val="List3"/>
    <w:qFormat/>
    <w:rPr>
      <w:rFonts w:ascii="Times New Roman" w:hAnsi="Times New Roman"/>
      <w:sz w:val="24"/>
    </w:rPr>
  </w:style>
  <w:style w:type="character" w:styleId="xl78" w:customStyle="1">
    <w:name w:val="xl78"/>
    <w:basedOn w:val="1"/>
    <w:link w:val="xl781"/>
    <w:qFormat/>
    <w:rPr>
      <w:rFonts w:ascii="Times New Roman" w:hAnsi="Times New Roman"/>
      <w:sz w:val="22"/>
    </w:rPr>
  </w:style>
  <w:style w:type="character" w:styleId="FooterChar" w:customStyle="1">
    <w:name w:val="Footer Char"/>
    <w:basedOn w:val="DefaultParagraphFont"/>
    <w:link w:val="FooterChar1"/>
    <w:qFormat/>
    <w:rPr/>
  </w:style>
  <w:style w:type="character" w:styleId="pj1" w:customStyle="1">
    <w:name w:val="pj1"/>
    <w:basedOn w:val="1"/>
    <w:link w:val="pj11"/>
    <w:qFormat/>
    <w:rPr>
      <w:rFonts w:ascii="Times New Roman" w:hAnsi="Times New Roman"/>
      <w:sz w:val="11"/>
    </w:rPr>
  </w:style>
  <w:style w:type="character" w:styleId="16" w:customStyle="1">
    <w:name w:val="Раздел ТЗ 1"/>
    <w:basedOn w:val="36"/>
    <w:link w:val="1114"/>
    <w:qFormat/>
    <w:rPr>
      <w:rFonts w:ascii="Times New Roman" w:hAnsi="Times New Roman"/>
      <w:b/>
      <w:sz w:val="26"/>
    </w:rPr>
  </w:style>
  <w:style w:type="character" w:styleId="Style16" w:customStyle="1">
    <w:name w:val="Цитата Знак"/>
    <w:basedOn w:val="1"/>
    <w:link w:val="BlockText"/>
    <w:qFormat/>
    <w:rPr>
      <w:rFonts w:ascii="Times New Roman" w:hAnsi="Times New Roman"/>
      <w:b/>
      <w:color w:val="000000"/>
      <w:spacing w:val="-4"/>
      <w:sz w:val="24"/>
    </w:rPr>
  </w:style>
  <w:style w:type="character" w:styleId="37" w:customStyle="1">
    <w:name w:val="Знак Знак Знак Знак3"/>
    <w:basedOn w:val="1"/>
    <w:link w:val="315"/>
    <w:qFormat/>
    <w:rPr>
      <w:rFonts w:ascii="Verdana" w:hAnsi="Verdana"/>
      <w:sz w:val="20"/>
    </w:rPr>
  </w:style>
  <w:style w:type="character" w:styleId="xl72" w:customStyle="1">
    <w:name w:val="xl72"/>
    <w:basedOn w:val="1"/>
    <w:link w:val="xl721"/>
    <w:qFormat/>
    <w:rPr>
      <w:rFonts w:ascii="Times New Roman" w:hAnsi="Times New Roman"/>
      <w:sz w:val="22"/>
    </w:rPr>
  </w:style>
  <w:style w:type="character" w:styleId="52" w:customStyle="1">
    <w:name w:val="Заголовок 5 Знак"/>
    <w:basedOn w:val="1"/>
    <w:qFormat/>
    <w:rPr>
      <w:rFonts w:ascii="Cambria" w:hAnsi="Cambria"/>
      <w:color w:val="243F60"/>
      <w:sz w:val="24"/>
    </w:rPr>
  </w:style>
  <w:style w:type="character" w:styleId="xl99" w:customStyle="1">
    <w:name w:val="xl99"/>
    <w:basedOn w:val="1"/>
    <w:link w:val="xl991"/>
    <w:qFormat/>
    <w:rPr>
      <w:rFonts w:ascii="Times New Roman" w:hAnsi="Times New Roman"/>
      <w:sz w:val="22"/>
    </w:rPr>
  </w:style>
  <w:style w:type="character" w:styleId="xl109" w:customStyle="1">
    <w:name w:val="xl109"/>
    <w:basedOn w:val="1"/>
    <w:link w:val="xl1091"/>
    <w:qFormat/>
    <w:rPr>
      <w:rFonts w:ascii="Times New Roman" w:hAnsi="Times New Roman"/>
      <w:b/>
      <w:color w:val="000000"/>
      <w:sz w:val="22"/>
    </w:rPr>
  </w:style>
  <w:style w:type="character" w:styleId="Style51" w:customStyle="1">
    <w:name w:val="Style5"/>
    <w:basedOn w:val="1"/>
    <w:link w:val="Style511"/>
    <w:qFormat/>
    <w:rPr>
      <w:rFonts w:ascii="Times New Roman" w:hAnsi="Times New Roman"/>
      <w:sz w:val="24"/>
    </w:rPr>
  </w:style>
  <w:style w:type="character" w:styleId="ConsPlusTitle" w:customStyle="1">
    <w:name w:val="ConsPlusTitle"/>
    <w:link w:val="ConsPlusTitle1"/>
    <w:qFormat/>
    <w:rPr>
      <w:rFonts w:ascii="Arial" w:hAnsi="Arial"/>
      <w:b/>
      <w:sz w:val="20"/>
    </w:rPr>
  </w:style>
  <w:style w:type="character" w:styleId="Style17" w:customStyle="1">
    <w:name w:val="Основной текст с отступом Знак"/>
    <w:basedOn w:val="1"/>
    <w:qFormat/>
    <w:rPr>
      <w:rFonts w:ascii="Times New Roman" w:hAnsi="Times New Roman"/>
      <w:sz w:val="24"/>
    </w:rPr>
  </w:style>
  <w:style w:type="character" w:styleId="Heading7Char" w:customStyle="1">
    <w:name w:val="Heading 7 Char"/>
    <w:basedOn w:val="DefaultParagraphFont"/>
    <w:link w:val="Heading7Char1"/>
    <w:qFormat/>
    <w:rPr>
      <w:rFonts w:ascii="Arial" w:hAnsi="Arial"/>
      <w:color w:themeColor="text1" w:themeTint="a6" w:val="595959"/>
    </w:rPr>
  </w:style>
  <w:style w:type="character" w:styleId="17" w:customStyle="1">
    <w:name w:val="Заголовок 1 Знак"/>
    <w:basedOn w:val="1"/>
    <w:qFormat/>
    <w:rPr>
      <w:rFonts w:ascii="Times New Roman" w:hAnsi="Times New Roman"/>
      <w:b/>
      <w:color w:val="000000"/>
      <w:sz w:val="28"/>
    </w:rPr>
  </w:style>
  <w:style w:type="character" w:styleId="Style18" w:customStyle="1">
    <w:name w:val="Знак"/>
    <w:basedOn w:val="1"/>
    <w:link w:val="310"/>
    <w:qFormat/>
    <w:rPr>
      <w:rFonts w:ascii="Times New Roman" w:hAnsi="Times New Roman"/>
      <w:sz w:val="24"/>
    </w:rPr>
  </w:style>
  <w:style w:type="character" w:styleId="Hyperlink">
    <w:name w:val="Hyperlink"/>
    <w:basedOn w:val="DefaultParagraphFont"/>
    <w:link w:val="123"/>
    <w:rPr>
      <w:color w:val="0000FF"/>
      <w:u w:val="single"/>
    </w:rPr>
  </w:style>
  <w:style w:type="character" w:styleId="Footnote" w:customStyle="1">
    <w:name w:val="Footnote"/>
    <w:basedOn w:val="1"/>
    <w:link w:val="Footnote1"/>
    <w:qFormat/>
    <w:rPr>
      <w:rFonts w:ascii="Times New Roman" w:hAnsi="Times New Roman"/>
      <w:sz w:val="20"/>
    </w:rPr>
  </w:style>
  <w:style w:type="character" w:styleId="8" w:customStyle="1">
    <w:name w:val="Заголовок 8 Знак"/>
    <w:basedOn w:val="1"/>
    <w:qFormat/>
    <w:rPr>
      <w:rFonts w:ascii="Arial" w:hAnsi="Arial"/>
      <w:i/>
      <w:color w:themeColor="text1" w:themeTint="d8" w:val="272727"/>
      <w:sz w:val="24"/>
    </w:rPr>
  </w:style>
  <w:style w:type="character" w:styleId="18" w:customStyle="1">
    <w:name w:val="Оглавление 1 Знак"/>
    <w:basedOn w:val="1"/>
    <w:qFormat/>
    <w:rPr>
      <w:rFonts w:ascii="Times New Roman" w:hAnsi="Times New Roman"/>
      <w:sz w:val="24"/>
    </w:rPr>
  </w:style>
  <w:style w:type="character" w:styleId="Style19" w:customStyle="1">
    <w:name w:val="Текст Знак"/>
    <w:basedOn w:val="1"/>
    <w:link w:val="PlainText"/>
    <w:qFormat/>
    <w:rPr>
      <w:rFonts w:ascii="Consolas" w:hAnsi="Consolas"/>
      <w:sz w:val="21"/>
    </w:rPr>
  </w:style>
  <w:style w:type="character" w:styleId="xl74" w:customStyle="1">
    <w:name w:val="xl74"/>
    <w:basedOn w:val="1"/>
    <w:link w:val="xl741"/>
    <w:qFormat/>
    <w:rPr>
      <w:rFonts w:ascii="Times New Roman" w:hAnsi="Times New Roman"/>
      <w:sz w:val="22"/>
    </w:rPr>
  </w:style>
  <w:style w:type="character" w:styleId="IntenseReference">
    <w:name w:val="Intense Reference"/>
    <w:basedOn w:val="DefaultParagraphFont"/>
    <w:link w:val="124"/>
    <w:qFormat/>
    <w:rPr>
      <w:b/>
      <w:smallCaps/>
      <w:color w:themeColor="accent1" w:themeShade="bf" w:val="365F91"/>
      <w:spacing w:val="5"/>
    </w:rPr>
  </w:style>
  <w:style w:type="character" w:styleId="HeaderandFooter" w:customStyle="1">
    <w:name w:val="Header and Footer"/>
    <w:qFormat/>
    <w:rPr>
      <w:rFonts w:ascii="XO Thames" w:hAnsi="XO Thames"/>
      <w:sz w:val="28"/>
    </w:rPr>
  </w:style>
  <w:style w:type="character" w:styleId="xl90" w:customStyle="1">
    <w:name w:val="xl90"/>
    <w:basedOn w:val="1"/>
    <w:link w:val="xl901"/>
    <w:qFormat/>
    <w:rPr>
      <w:rFonts w:ascii="Times New Roman" w:hAnsi="Times New Roman"/>
      <w:sz w:val="22"/>
    </w:rPr>
  </w:style>
  <w:style w:type="character" w:styleId="xl113" w:customStyle="1">
    <w:name w:val="xl113"/>
    <w:basedOn w:val="1"/>
    <w:link w:val="xl1131"/>
    <w:qFormat/>
    <w:rPr>
      <w:rFonts w:ascii="Times New Roman" w:hAnsi="Times New Roman"/>
      <w:b/>
      <w:sz w:val="22"/>
    </w:rPr>
  </w:style>
  <w:style w:type="character" w:styleId="xl84" w:customStyle="1">
    <w:name w:val="xl84"/>
    <w:basedOn w:val="1"/>
    <w:link w:val="xl841"/>
    <w:qFormat/>
    <w:rPr>
      <w:rFonts w:ascii="Times New Roman" w:hAnsi="Times New Roman"/>
      <w:sz w:val="22"/>
    </w:rPr>
  </w:style>
  <w:style w:type="character" w:styleId="91" w:customStyle="1">
    <w:name w:val="Оглавление 9 Знак"/>
    <w:basedOn w:val="1"/>
    <w:qFormat/>
    <w:rPr>
      <w:rFonts w:ascii="Times New Roman" w:hAnsi="Times New Roman"/>
      <w:sz w:val="24"/>
    </w:rPr>
  </w:style>
  <w:style w:type="character" w:styleId="IntenseEmphasis">
    <w:name w:val="Intense Emphasis"/>
    <w:basedOn w:val="DefaultParagraphFont"/>
    <w:link w:val="125"/>
    <w:qFormat/>
    <w:rPr>
      <w:i/>
      <w:color w:themeColor="accent1" w:themeShade="bf" w:val="365F91"/>
    </w:rPr>
  </w:style>
  <w:style w:type="character" w:styleId="xl92" w:customStyle="1">
    <w:name w:val="xl92"/>
    <w:basedOn w:val="1"/>
    <w:link w:val="xl921"/>
    <w:qFormat/>
    <w:rPr>
      <w:rFonts w:ascii="Times New Roman" w:hAnsi="Times New Roman"/>
      <w:b/>
      <w:sz w:val="22"/>
    </w:rPr>
  </w:style>
  <w:style w:type="character" w:styleId="ConsPlusNonformat" w:customStyle="1">
    <w:name w:val="ConsPlusNonformat"/>
    <w:link w:val="ConsPlusNonformat1"/>
    <w:qFormat/>
    <w:rPr>
      <w:rFonts w:ascii="Courier New" w:hAnsi="Courier New"/>
      <w:sz w:val="20"/>
    </w:rPr>
  </w:style>
  <w:style w:type="character" w:styleId="xl104" w:customStyle="1">
    <w:name w:val="xl104"/>
    <w:basedOn w:val="1"/>
    <w:link w:val="xl1041"/>
    <w:qFormat/>
    <w:rPr>
      <w:rFonts w:ascii="Times New Roman" w:hAnsi="Times New Roman"/>
      <w:sz w:val="22"/>
    </w:rPr>
  </w:style>
  <w:style w:type="character" w:styleId="xl85" w:customStyle="1">
    <w:name w:val="xl85"/>
    <w:basedOn w:val="1"/>
    <w:link w:val="xl851"/>
    <w:qFormat/>
    <w:rPr>
      <w:rFonts w:ascii="Times New Roman" w:hAnsi="Times New Roman"/>
      <w:sz w:val="22"/>
    </w:rPr>
  </w:style>
  <w:style w:type="character" w:styleId="Style20" w:customStyle="1">
    <w:name w:val="Тема примечания Знак"/>
    <w:basedOn w:val="Style5"/>
    <w:link w:val="annotationsubject"/>
    <w:qFormat/>
    <w:rPr>
      <w:rFonts w:ascii="Times New Roman" w:hAnsi="Times New Roman"/>
      <w:b/>
      <w:sz w:val="20"/>
    </w:rPr>
  </w:style>
  <w:style w:type="character" w:styleId="Style21" w:customStyle="1">
    <w:name w:val="Название объекта Знак"/>
    <w:basedOn w:val="1"/>
    <w:qFormat/>
    <w:rPr>
      <w:rFonts w:ascii="Times New Roman" w:hAnsi="Times New Roman"/>
      <w:i/>
      <w:color w:themeColor="text2" w:val="1F497D"/>
      <w:sz w:val="18"/>
    </w:rPr>
  </w:style>
  <w:style w:type="character" w:styleId="81" w:customStyle="1">
    <w:name w:val="Оглавление 8 Знак"/>
    <w:basedOn w:val="1"/>
    <w:qFormat/>
    <w:rPr>
      <w:rFonts w:ascii="Times New Roman" w:hAnsi="Times New Roman"/>
      <w:sz w:val="24"/>
    </w:rPr>
  </w:style>
  <w:style w:type="character" w:styleId="Style22" w:customStyle="1">
    <w:name w:val="Перечень рисунков Знак"/>
    <w:basedOn w:val="1"/>
    <w:qFormat/>
    <w:rPr>
      <w:rFonts w:ascii="Times New Roman" w:hAnsi="Times New Roman"/>
      <w:sz w:val="24"/>
    </w:rPr>
  </w:style>
  <w:style w:type="character" w:styleId="19" w:customStyle="1">
    <w:name w:val="Без интервала1"/>
    <w:link w:val="126"/>
    <w:qFormat/>
    <w:rPr>
      <w:rFonts w:ascii="Calibri" w:hAnsi="Calibri"/>
    </w:rPr>
  </w:style>
  <w:style w:type="character" w:styleId="xl102" w:customStyle="1">
    <w:name w:val="xl102"/>
    <w:basedOn w:val="1"/>
    <w:link w:val="xl1021"/>
    <w:qFormat/>
    <w:rPr>
      <w:rFonts w:ascii="Times New Roman" w:hAnsi="Times New Roman"/>
      <w:b/>
      <w:sz w:val="22"/>
    </w:rPr>
  </w:style>
  <w:style w:type="character" w:styleId="blk3" w:customStyle="1">
    <w:name w:val="blk3"/>
    <w:basedOn w:val="DefaultParagraphFont"/>
    <w:link w:val="blk31"/>
    <w:qFormat/>
    <w:rPr/>
  </w:style>
  <w:style w:type="character" w:styleId="xl88" w:customStyle="1">
    <w:name w:val="xl88"/>
    <w:basedOn w:val="1"/>
    <w:link w:val="xl881"/>
    <w:qFormat/>
    <w:rPr>
      <w:rFonts w:ascii="Times New Roman" w:hAnsi="Times New Roman"/>
      <w:b/>
      <w:sz w:val="22"/>
    </w:rPr>
  </w:style>
  <w:style w:type="character" w:styleId="311" w:customStyle="1">
    <w:name w:val="Абзац списка31"/>
    <w:basedOn w:val="1"/>
    <w:link w:val="3111"/>
    <w:qFormat/>
    <w:rPr>
      <w:rFonts w:ascii="Times New Roman" w:hAnsi="Times New Roman"/>
      <w:sz w:val="24"/>
    </w:rPr>
  </w:style>
  <w:style w:type="character" w:styleId="ConsPlusNormal" w:customStyle="1">
    <w:name w:val="ConsPlusNormal"/>
    <w:link w:val="ConsPlusNormal1"/>
    <w:qFormat/>
    <w:rPr>
      <w:rFonts w:ascii="Arial" w:hAnsi="Arial"/>
      <w:sz w:val="20"/>
    </w:rPr>
  </w:style>
  <w:style w:type="character" w:styleId="43" w:customStyle="1">
    <w:name w:val="Абзац списка4"/>
    <w:basedOn w:val="1"/>
    <w:link w:val="413"/>
    <w:qFormat/>
    <w:rPr>
      <w:rFonts w:ascii="Times New Roman" w:hAnsi="Times New Roman"/>
      <w:sz w:val="24"/>
    </w:rPr>
  </w:style>
  <w:style w:type="character" w:styleId="27" w:customStyle="1">
    <w:name w:val="Нумерованный список 2 Знак"/>
    <w:basedOn w:val="1"/>
    <w:qFormat/>
    <w:rPr>
      <w:rFonts w:ascii="Times New Roman" w:hAnsi="Times New Roman"/>
      <w:sz w:val="24"/>
    </w:rPr>
  </w:style>
  <w:style w:type="character" w:styleId="53" w:customStyle="1">
    <w:name w:val="Оглавление 5 Знак"/>
    <w:basedOn w:val="1"/>
    <w:qFormat/>
    <w:rPr>
      <w:rFonts w:ascii="Times New Roman" w:hAnsi="Times New Roman"/>
      <w:sz w:val="24"/>
    </w:rPr>
  </w:style>
  <w:style w:type="character" w:styleId="xl101" w:customStyle="1">
    <w:name w:val="xl101"/>
    <w:basedOn w:val="1"/>
    <w:link w:val="xl1011"/>
    <w:qFormat/>
    <w:rPr>
      <w:rFonts w:ascii="Times New Roman" w:hAnsi="Times New Roman"/>
      <w:b/>
      <w:sz w:val="22"/>
    </w:rPr>
  </w:style>
  <w:style w:type="character" w:styleId="Heading2Char" w:customStyle="1">
    <w:name w:val="Heading 2 Char"/>
    <w:basedOn w:val="DefaultParagraphFont"/>
    <w:link w:val="Heading2Char1"/>
    <w:qFormat/>
    <w:rPr>
      <w:rFonts w:ascii="Arial" w:hAnsi="Arial"/>
      <w:color w:themeColor="accent1" w:themeShade="bf" w:val="365F91"/>
      <w:sz w:val="32"/>
    </w:rPr>
  </w:style>
  <w:style w:type="character" w:styleId="110" w:customStyle="1">
    <w:name w:val="Текст1"/>
    <w:basedOn w:val="1"/>
    <w:link w:val="1115"/>
    <w:qFormat/>
    <w:rPr>
      <w:rFonts w:ascii="Consolas" w:hAnsi="Consolas"/>
      <w:sz w:val="21"/>
    </w:rPr>
  </w:style>
  <w:style w:type="character" w:styleId="TitleChar" w:customStyle="1">
    <w:name w:val="Title Char"/>
    <w:basedOn w:val="DefaultParagraphFont"/>
    <w:link w:val="TitleChar1"/>
    <w:qFormat/>
    <w:rPr>
      <w:rFonts w:ascii="Arial" w:hAnsi="Arial"/>
      <w:spacing w:val="-10"/>
      <w:sz w:val="56"/>
    </w:rPr>
  </w:style>
  <w:style w:type="character" w:styleId="Heading5Char" w:customStyle="1">
    <w:name w:val="Heading 5 Char"/>
    <w:basedOn w:val="DefaultParagraphFont"/>
    <w:link w:val="Heading5Char1"/>
    <w:qFormat/>
    <w:rPr>
      <w:rFonts w:ascii="Arial" w:hAnsi="Arial"/>
      <w:color w:themeColor="accent1" w:themeShade="bf" w:val="365F91"/>
    </w:rPr>
  </w:style>
  <w:style w:type="character" w:styleId="Emphasis">
    <w:name w:val="Emphasis"/>
    <w:basedOn w:val="DefaultParagraphFont"/>
    <w:link w:val="127"/>
    <w:qFormat/>
    <w:rPr>
      <w:i/>
    </w:rPr>
  </w:style>
  <w:style w:type="character" w:styleId="xl73" w:customStyle="1">
    <w:name w:val="xl73"/>
    <w:basedOn w:val="1"/>
    <w:link w:val="xl731"/>
    <w:qFormat/>
    <w:rPr>
      <w:rFonts w:ascii="Times New Roman" w:hAnsi="Times New Roman"/>
      <w:sz w:val="22"/>
    </w:rPr>
  </w:style>
  <w:style w:type="character" w:styleId="28" w:customStyle="1">
    <w:name w:val="Основной текст 2 Знак"/>
    <w:basedOn w:val="1"/>
    <w:link w:val="BodyText2"/>
    <w:qFormat/>
    <w:rPr>
      <w:rFonts w:ascii="Times New Roman" w:hAnsi="Times New Roman"/>
      <w:sz w:val="24"/>
    </w:rPr>
  </w:style>
  <w:style w:type="character" w:styleId="Style23" w:customStyle="1">
    <w:name w:val="Знак Знак Знак Знак Знак Знак Знак Знак Знак Знак"/>
    <w:basedOn w:val="1"/>
    <w:link w:val="128"/>
    <w:qFormat/>
    <w:rPr>
      <w:rFonts w:ascii="Tahoma" w:hAnsi="Tahoma"/>
      <w:sz w:val="20"/>
    </w:rPr>
  </w:style>
  <w:style w:type="character" w:styleId="PageNumber">
    <w:name w:val="page number"/>
    <w:basedOn w:val="DefaultParagraphFont"/>
    <w:link w:val="129"/>
    <w:rPr/>
  </w:style>
  <w:style w:type="character" w:styleId="38" w:customStyle="1">
    <w:name w:val="Основной текст с отступом 3 Знак"/>
    <w:basedOn w:val="1"/>
    <w:link w:val="BodyTextIndent3"/>
    <w:qFormat/>
    <w:rPr>
      <w:rFonts w:ascii="Times New Roman" w:hAnsi="Times New Roman"/>
      <w:sz w:val="16"/>
    </w:rPr>
  </w:style>
  <w:style w:type="character" w:styleId="xl110" w:customStyle="1">
    <w:name w:val="xl110"/>
    <w:basedOn w:val="1"/>
    <w:link w:val="xl1101"/>
    <w:qFormat/>
    <w:rPr>
      <w:rFonts w:ascii="Times New Roman" w:hAnsi="Times New Roman"/>
      <w:b/>
      <w:color w:val="000000"/>
      <w:sz w:val="22"/>
    </w:rPr>
  </w:style>
  <w:style w:type="character" w:styleId="Style24" w:customStyle="1">
    <w:name w:val="Знак Знак Знак Знак"/>
    <w:basedOn w:val="1"/>
    <w:link w:val="82"/>
    <w:qFormat/>
    <w:rPr>
      <w:rFonts w:ascii="Verdana" w:hAnsi="Verdana"/>
      <w:sz w:val="20"/>
    </w:rPr>
  </w:style>
  <w:style w:type="character" w:styleId="Style25" w:customStyle="1">
    <w:name w:val="Подзаголовок Знак"/>
    <w:basedOn w:val="1"/>
    <w:qFormat/>
    <w:rPr>
      <w:rFonts w:ascii="Times New Roman" w:hAnsi="Times New Roman"/>
      <w:color w:themeColor="text1" w:themeTint="a6" w:val="595959"/>
      <w:spacing w:val="15"/>
      <w:sz w:val="28"/>
    </w:rPr>
  </w:style>
  <w:style w:type="character" w:styleId="xl105" w:customStyle="1">
    <w:name w:val="xl105"/>
    <w:basedOn w:val="1"/>
    <w:link w:val="xl1051"/>
    <w:qFormat/>
    <w:rPr>
      <w:rFonts w:ascii="Times New Roman" w:hAnsi="Times New Roman"/>
      <w:b/>
      <w:sz w:val="22"/>
    </w:rPr>
  </w:style>
  <w:style w:type="character" w:styleId="72" w:customStyle="1">
    <w:name w:val="Знак Знак Знак Знак7"/>
    <w:basedOn w:val="1"/>
    <w:link w:val="711"/>
    <w:qFormat/>
    <w:rPr>
      <w:rFonts w:ascii="Verdana" w:hAnsi="Verdana"/>
      <w:sz w:val="20"/>
    </w:rPr>
  </w:style>
  <w:style w:type="character" w:styleId="xl111" w:customStyle="1">
    <w:name w:val="xl111"/>
    <w:basedOn w:val="1"/>
    <w:link w:val="xl1111"/>
    <w:qFormat/>
    <w:rPr>
      <w:rFonts w:ascii="Times New Roman" w:hAnsi="Times New Roman"/>
      <w:color w:val="000000"/>
      <w:sz w:val="22"/>
    </w:rPr>
  </w:style>
  <w:style w:type="character" w:styleId="Style26">
    <w:name w:val="Символ сноски"/>
    <w:basedOn w:val="DefaultParagraphFont"/>
    <w:link w:val="130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eading4Char" w:customStyle="1">
    <w:name w:val="Heading 4 Char"/>
    <w:basedOn w:val="DefaultParagraphFont"/>
    <w:link w:val="Heading4Char1"/>
    <w:qFormat/>
    <w:rPr>
      <w:rFonts w:ascii="Arial" w:hAnsi="Arial"/>
      <w:i/>
      <w:color w:themeColor="accent1" w:themeShade="bf" w:val="365F91"/>
    </w:rPr>
  </w:style>
  <w:style w:type="character" w:styleId="xl93" w:customStyle="1">
    <w:name w:val="xl93"/>
    <w:basedOn w:val="1"/>
    <w:link w:val="xl931"/>
    <w:qFormat/>
    <w:rPr>
      <w:rFonts w:ascii="Times New Roman" w:hAnsi="Times New Roman"/>
      <w:b/>
      <w:sz w:val="22"/>
    </w:rPr>
  </w:style>
  <w:style w:type="character" w:styleId="Style27" w:customStyle="1">
    <w:name w:val="Заголовок Знак"/>
    <w:basedOn w:val="1"/>
    <w:qFormat/>
    <w:rPr>
      <w:rFonts w:ascii="Times New Roman" w:hAnsi="Times New Roman"/>
      <w:sz w:val="24"/>
    </w:rPr>
  </w:style>
  <w:style w:type="character" w:styleId="FontStyle21" w:customStyle="1">
    <w:name w:val="Font Style21"/>
    <w:basedOn w:val="DefaultParagraphFont"/>
    <w:link w:val="FontStyle211"/>
    <w:qFormat/>
    <w:rPr>
      <w:rFonts w:ascii="Times New Roman" w:hAnsi="Times New Roman"/>
      <w:sz w:val="20"/>
    </w:rPr>
  </w:style>
  <w:style w:type="character" w:styleId="44" w:customStyle="1">
    <w:name w:val="Заголовок 4 Знак"/>
    <w:basedOn w:val="1"/>
    <w:qFormat/>
    <w:rPr>
      <w:rFonts w:ascii="Times New Roman" w:hAnsi="Times New Roman"/>
      <w:b/>
      <w:sz w:val="28"/>
    </w:rPr>
  </w:style>
  <w:style w:type="character" w:styleId="Default" w:customStyle="1">
    <w:name w:val="Default"/>
    <w:link w:val="Default1"/>
    <w:qFormat/>
    <w:rPr>
      <w:rFonts w:ascii="Times New Roman" w:hAnsi="Times New Roman"/>
      <w:color w:val="000000"/>
      <w:sz w:val="24"/>
    </w:rPr>
  </w:style>
  <w:style w:type="character" w:styleId="Style28" w:customStyle="1">
    <w:name w:val="Нижний колонтитул Знак"/>
    <w:basedOn w:val="1"/>
    <w:qFormat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link w:val="131"/>
    <w:qFormat/>
    <w:rPr>
      <w:color w:val="666666"/>
    </w:rPr>
  </w:style>
  <w:style w:type="character" w:styleId="NoSpacing1" w:customStyle="1">
    <w:name w:val="No Spacing1"/>
    <w:link w:val="NoSpacing11"/>
    <w:qFormat/>
    <w:rPr>
      <w:rFonts w:ascii="Calibri" w:hAnsi="Calibri"/>
    </w:rPr>
  </w:style>
  <w:style w:type="character" w:styleId="CommentReference">
    <w:name w:val="annotation reference"/>
    <w:basedOn w:val="DefaultParagraphFont"/>
    <w:link w:val="132"/>
    <w:qFormat/>
    <w:rPr>
      <w:sz w:val="16"/>
    </w:rPr>
  </w:style>
  <w:style w:type="character" w:styleId="29" w:customStyle="1">
    <w:name w:val="Заголовок 2 Знак"/>
    <w:basedOn w:val="1"/>
    <w:qFormat/>
    <w:rPr>
      <w:rFonts w:ascii="Times New Roman" w:hAnsi="Times New Roman"/>
      <w:b/>
      <w:color w:val="000000"/>
      <w:sz w:val="28"/>
    </w:rPr>
  </w:style>
  <w:style w:type="character" w:styleId="39" w:customStyle="1">
    <w:name w:val="Абзац списка3"/>
    <w:basedOn w:val="1"/>
    <w:link w:val="321"/>
    <w:qFormat/>
    <w:rPr>
      <w:rFonts w:ascii="Times New Roman" w:hAnsi="Times New Roman"/>
      <w:sz w:val="24"/>
    </w:rPr>
  </w:style>
  <w:style w:type="character" w:styleId="210" w:customStyle="1">
    <w:name w:val="Знак2"/>
    <w:basedOn w:val="1"/>
    <w:link w:val="215"/>
    <w:qFormat/>
    <w:rPr>
      <w:rFonts w:ascii="Verdana" w:hAnsi="Verdana"/>
      <w:sz w:val="24"/>
    </w:rPr>
  </w:style>
  <w:style w:type="character" w:styleId="xl100" w:customStyle="1">
    <w:name w:val="xl100"/>
    <w:basedOn w:val="1"/>
    <w:link w:val="xl1001"/>
    <w:qFormat/>
    <w:rPr>
      <w:rFonts w:ascii="Times New Roman" w:hAnsi="Times New Roman"/>
      <w:color w:val="000000"/>
      <w:sz w:val="22"/>
    </w:rPr>
  </w:style>
  <w:style w:type="character" w:styleId="Style29" w:customStyle="1">
    <w:name w:val="Пункт"/>
    <w:basedOn w:val="1"/>
    <w:link w:val="134"/>
    <w:qFormat/>
    <w:rPr>
      <w:rFonts w:ascii="Times New Roman" w:hAnsi="Times New Roman"/>
      <w:sz w:val="24"/>
    </w:rPr>
  </w:style>
  <w:style w:type="character" w:styleId="112" w:customStyle="1">
    <w:name w:val="Знак Знак Знак Знак1"/>
    <w:basedOn w:val="1"/>
    <w:link w:val="1116"/>
    <w:qFormat/>
    <w:rPr>
      <w:rFonts w:ascii="Verdana" w:hAnsi="Verdana"/>
      <w:sz w:val="20"/>
    </w:rPr>
  </w:style>
  <w:style w:type="character" w:styleId="113" w:customStyle="1">
    <w:name w:val="Абзац списка11"/>
    <w:basedOn w:val="1"/>
    <w:link w:val="1117"/>
    <w:qFormat/>
    <w:rPr>
      <w:rFonts w:ascii="Times New Roman" w:hAnsi="Times New Roman"/>
      <w:sz w:val="24"/>
    </w:rPr>
  </w:style>
  <w:style w:type="character" w:styleId="Style30" w:customStyle="1">
    <w:name w:val="Без интервала Знак"/>
    <w:link w:val="NoSpacing"/>
    <w:qFormat/>
    <w:rPr/>
  </w:style>
  <w:style w:type="character" w:styleId="62" w:customStyle="1">
    <w:name w:val="Заголовок 6 Знак"/>
    <w:basedOn w:val="1"/>
    <w:qFormat/>
    <w:rPr>
      <w:rFonts w:ascii="Arial" w:hAnsi="Arial"/>
      <w:i/>
      <w:color w:themeColor="text1" w:themeTint="a6" w:val="595959"/>
      <w:sz w:val="24"/>
    </w:rPr>
  </w:style>
  <w:style w:type="character" w:styleId="SubtleEmphasis">
    <w:name w:val="Subtle Emphasis"/>
    <w:basedOn w:val="DefaultParagraphFont"/>
    <w:link w:val="135"/>
    <w:qFormat/>
    <w:rPr>
      <w:i/>
      <w:color w:themeColor="text1" w:themeTint="bf" w:val="404040"/>
    </w:rPr>
  </w:style>
  <w:style w:type="character" w:styleId="formattext" w:customStyle="1">
    <w:name w:val="formattext"/>
    <w:basedOn w:val="1"/>
    <w:link w:val="formattext1"/>
    <w:qFormat/>
    <w:rPr>
      <w:rFonts w:ascii="Times New Roman" w:hAnsi="Times New Roman"/>
      <w:sz w:val="24"/>
    </w:rPr>
  </w:style>
  <w:style w:type="character" w:styleId="xl98" w:customStyle="1">
    <w:name w:val="xl98"/>
    <w:basedOn w:val="1"/>
    <w:link w:val="xl981"/>
    <w:qFormat/>
    <w:rPr>
      <w:rFonts w:ascii="Times New Roman" w:hAnsi="Times New Roman"/>
      <w:sz w:val="22"/>
    </w:rPr>
  </w:style>
  <w:style w:type="character" w:styleId="ConsPlusCell" w:customStyle="1">
    <w:name w:val="ConsPlusCell"/>
    <w:link w:val="ConsPlusCell1"/>
    <w:qFormat/>
    <w:rPr>
      <w:rFonts w:ascii="Arial" w:hAnsi="Arial"/>
      <w:sz w:val="20"/>
    </w:rPr>
  </w:style>
  <w:style w:type="paragraph" w:styleId="Style31" w:customStyle="1">
    <w:name w:val="Заголовок"/>
    <w:next w:val="BodyText"/>
    <w:qFormat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paragraph" w:styleId="BodyText">
    <w:name w:val="Body Text"/>
    <w:basedOn w:val="Normal"/>
    <w:link w:val="Style14"/>
    <w:pPr>
      <w:widowControl w:val="false"/>
      <w:spacing w:lineRule="atLeast" w:line="120"/>
      <w:ind w:end="4"/>
      <w:jc w:val="both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next w:val="Normal"/>
    <w:link w:val="Style21"/>
    <w:qFormat/>
    <w:pPr>
      <w:spacing w:before="0" w:after="200"/>
    </w:pPr>
    <w:rPr>
      <w:i/>
      <w:color w:themeColor="text2" w:val="1F497D"/>
      <w:sz w:val="18"/>
    </w:rPr>
  </w:style>
  <w:style w:type="paragraph" w:styleId="Style32">
    <w:name w:val="Указатель"/>
    <w:basedOn w:val="Normal"/>
    <w:qFormat/>
    <w:pPr>
      <w:suppressLineNumbers/>
    </w:pPr>
    <w:rPr>
      <w:rFonts w:cs="Noto Sans"/>
    </w:rPr>
  </w:style>
  <w:style w:type="paragraph" w:styleId="xl791" w:customStyle="1">
    <w:name w:val="xl791"/>
    <w:basedOn w:val="Normal"/>
    <w:link w:val="xl7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2"/>
    </w:rPr>
  </w:style>
  <w:style w:type="paragraph" w:styleId="xl1141" w:customStyle="1">
    <w:name w:val="xl1141"/>
    <w:basedOn w:val="Normal"/>
    <w:link w:val="xl114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CommentText">
    <w:name w:val="annotation text"/>
    <w:basedOn w:val="Normal"/>
    <w:link w:val="Style5"/>
    <w:pPr/>
    <w:rPr>
      <w:sz w:val="20"/>
    </w:rPr>
  </w:style>
  <w:style w:type="paragraph" w:styleId="TOC2">
    <w:name w:val="toc 2"/>
    <w:basedOn w:val="Normal"/>
    <w:next w:val="Normal"/>
    <w:link w:val="2"/>
    <w:uiPriority w:val="39"/>
    <w:pPr>
      <w:spacing w:before="0" w:after="100"/>
      <w:ind w:start="220"/>
    </w:pPr>
    <w:rPr/>
  </w:style>
  <w:style w:type="paragraph" w:styleId="xl811" w:customStyle="1">
    <w:name w:val="xl811"/>
    <w:basedOn w:val="Normal"/>
    <w:link w:val="xl8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2"/>
    </w:rPr>
  </w:style>
  <w:style w:type="paragraph" w:styleId="xl1121" w:customStyle="1">
    <w:name w:val="xl1121"/>
    <w:basedOn w:val="Normal"/>
    <w:link w:val="xl112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Heading1Char1" w:customStyle="1">
    <w:name w:val="Heading 1 Char1"/>
    <w:basedOn w:val="133"/>
    <w:link w:val="Heading1Char"/>
    <w:qFormat/>
    <w:pPr/>
    <w:rPr>
      <w:rFonts w:ascii="Arial" w:hAnsi="Arial"/>
      <w:color w:themeColor="accent1" w:themeShade="bf" w:val="365F91"/>
      <w:sz w:val="40"/>
    </w:rPr>
  </w:style>
  <w:style w:type="paragraph" w:styleId="Style61" w:customStyle="1">
    <w:name w:val="Style61"/>
    <w:basedOn w:val="Normal"/>
    <w:link w:val="Style6"/>
    <w:qFormat/>
    <w:pPr>
      <w:widowControl w:val="false"/>
      <w:spacing w:lineRule="exact" w:line="252"/>
      <w:ind w:firstLine="696"/>
      <w:jc w:val="both"/>
    </w:pPr>
    <w:rPr/>
  </w:style>
  <w:style w:type="paragraph" w:styleId="121" w:customStyle="1">
    <w:name w:val="Абзац списка12"/>
    <w:basedOn w:val="Normal"/>
    <w:link w:val="11"/>
    <w:qFormat/>
    <w:pPr>
      <w:spacing w:before="0" w:after="0"/>
      <w:ind w:start="720"/>
      <w:contextualSpacing/>
    </w:pPr>
    <w:rPr/>
  </w:style>
  <w:style w:type="paragraph" w:styleId="114" w:customStyle="1">
    <w:name w:val="Просмотренная гиперссылка1"/>
    <w:basedOn w:val="133"/>
    <w:qFormat/>
    <w:pPr/>
    <w:rPr>
      <w:color w:themeColor="followedHyperlink" w:val="800080"/>
      <w:u w:val="single"/>
    </w:rPr>
  </w:style>
  <w:style w:type="paragraph" w:styleId="115" w:customStyle="1">
    <w:name w:val="Знак концевой сноски1"/>
    <w:basedOn w:val="133"/>
    <w:qFormat/>
    <w:pPr/>
    <w:rPr>
      <w:vertAlign w:val="superscript"/>
    </w:rPr>
  </w:style>
  <w:style w:type="paragraph" w:styleId="TOC4">
    <w:name w:val="toc 4"/>
    <w:basedOn w:val="Normal"/>
    <w:next w:val="Normal"/>
    <w:link w:val="4"/>
    <w:uiPriority w:val="39"/>
    <w:pPr>
      <w:spacing w:before="0" w:after="100"/>
      <w:ind w:start="660"/>
    </w:pPr>
    <w:rPr/>
  </w:style>
  <w:style w:type="paragraph" w:styleId="411" w:customStyle="1">
    <w:name w:val="Стиль41"/>
    <w:basedOn w:val="Normal"/>
    <w:link w:val="41"/>
    <w:qFormat/>
    <w:pPr>
      <w:jc w:val="center"/>
    </w:pPr>
    <w:rPr>
      <w:rFonts w:ascii="Arial" w:hAnsi="Arial"/>
    </w:rPr>
  </w:style>
  <w:style w:type="paragraph" w:styleId="116" w:customStyle="1">
    <w:name w:val="Знак11"/>
    <w:basedOn w:val="Normal"/>
    <w:link w:val="12"/>
    <w:qFormat/>
    <w:pPr>
      <w:spacing w:lineRule="exact" w:line="240" w:before="0" w:after="160"/>
      <w:jc w:val="both"/>
    </w:pPr>
    <w:rPr/>
  </w:style>
  <w:style w:type="paragraph" w:styleId="211" w:customStyle="1">
    <w:name w:val="Абзац списка21"/>
    <w:basedOn w:val="Normal"/>
    <w:link w:val="21"/>
    <w:qFormat/>
    <w:pPr>
      <w:spacing w:before="0" w:after="0"/>
      <w:ind w:start="720"/>
      <w:contextualSpacing/>
    </w:pPr>
    <w:rPr/>
  </w:style>
  <w:style w:type="paragraph" w:styleId="117" w:customStyle="1">
    <w:name w:val="Название книги1"/>
    <w:basedOn w:val="133"/>
    <w:link w:val="BookTitle"/>
    <w:qFormat/>
    <w:pPr/>
    <w:rPr>
      <w:b/>
      <w:i/>
      <w:spacing w:val="5"/>
    </w:rPr>
  </w:style>
  <w:style w:type="paragraph" w:styleId="118" w:customStyle="1">
    <w:name w:val="Подпункт1"/>
    <w:basedOn w:val="134"/>
    <w:link w:val="Style8"/>
    <w:qFormat/>
    <w:pPr>
      <w:tabs>
        <w:tab w:val="clear" w:pos="1800"/>
        <w:tab w:val="left" w:pos="2520" w:leader="none"/>
      </w:tabs>
      <w:ind w:hanging="648" w:start="1728"/>
    </w:pPr>
    <w:rPr/>
  </w:style>
  <w:style w:type="paragraph" w:styleId="1111" w:customStyle="1">
    <w:name w:val="Без интервала111"/>
    <w:link w:val="111"/>
    <w:qFormat/>
    <w:pPr>
      <w:widowControl/>
      <w:bidi w:val="0"/>
      <w:spacing w:lineRule="auto" w:line="240" w:before="0" w:after="0"/>
      <w:jc w:val="star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TOC6">
    <w:name w:val="toc 6"/>
    <w:basedOn w:val="Normal"/>
    <w:next w:val="Normal"/>
    <w:link w:val="6"/>
    <w:uiPriority w:val="39"/>
    <w:pPr>
      <w:spacing w:before="0" w:after="100"/>
      <w:ind w:start="1100"/>
    </w:pPr>
    <w:rPr/>
  </w:style>
  <w:style w:type="paragraph" w:styleId="312" w:customStyle="1">
    <w:name w:val="Основной текст31"/>
    <w:basedOn w:val="Normal"/>
    <w:link w:val="3"/>
    <w:qFormat/>
    <w:pPr>
      <w:spacing w:lineRule="atLeast" w:line="240" w:before="360" w:after="600"/>
      <w:ind w:hanging="360"/>
      <w:jc w:val="both"/>
    </w:pPr>
    <w:rPr>
      <w:rFonts w:ascii="Calibri" w:hAnsi="Calibri" w:asciiTheme="minorHAnsi" w:hAnsiTheme="minorHAnsi"/>
      <w:sz w:val="23"/>
      <w:highlight w:val="white"/>
    </w:rPr>
  </w:style>
  <w:style w:type="paragraph" w:styleId="TOC7">
    <w:name w:val="toc 7"/>
    <w:basedOn w:val="Normal"/>
    <w:next w:val="Normal"/>
    <w:link w:val="71"/>
    <w:uiPriority w:val="39"/>
    <w:pPr>
      <w:spacing w:before="0" w:after="100"/>
      <w:ind w:start="1320"/>
    </w:pPr>
    <w:rPr/>
  </w:style>
  <w:style w:type="paragraph" w:styleId="ConsNormal1" w:customStyle="1">
    <w:name w:val="ConsNormal1"/>
    <w:link w:val="ConsNormal"/>
    <w:qFormat/>
    <w:pPr>
      <w:widowControl w:val="false"/>
      <w:bidi w:val="0"/>
      <w:spacing w:lineRule="auto" w:line="240" w:before="0" w:after="0"/>
      <w:ind w:firstLine="720"/>
      <w:jc w:val="start"/>
    </w:pPr>
    <w:rPr>
      <w:rFonts w:ascii="Arial" w:hAnsi="Arial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313" w:customStyle="1">
    <w:name w:val="Без интервала31"/>
    <w:link w:val="31"/>
    <w:qFormat/>
    <w:pPr>
      <w:widowControl/>
      <w:bidi w:val="0"/>
      <w:spacing w:lineRule="auto" w:line="240" w:before="0" w:after="0"/>
      <w:jc w:val="star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119" w:customStyle="1">
    <w:name w:val="Текст Знак11"/>
    <w:basedOn w:val="133"/>
    <w:link w:val="13"/>
    <w:qFormat/>
    <w:pPr/>
    <w:rPr>
      <w:rFonts w:ascii="Consolas" w:hAnsi="Consolas"/>
      <w:sz w:val="21"/>
    </w:rPr>
  </w:style>
  <w:style w:type="paragraph" w:styleId="xl1081" w:customStyle="1">
    <w:name w:val="xl1081"/>
    <w:basedOn w:val="Normal"/>
    <w:link w:val="xl108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ListParagraph">
    <w:name w:val="List Paragraph"/>
    <w:basedOn w:val="Normal"/>
    <w:link w:val="Style9"/>
    <w:uiPriority w:val="34"/>
    <w:qFormat/>
    <w:pPr>
      <w:spacing w:before="0" w:after="0"/>
      <w:ind w:start="720"/>
      <w:contextualSpacing/>
    </w:pPr>
    <w:rPr/>
  </w:style>
  <w:style w:type="paragraph" w:styleId="Style33" w:customStyle="1">
    <w:name w:val="Колонтитулы"/>
    <w:qFormat/>
    <w:pPr>
      <w:widowControl/>
      <w:bidi w:val="0"/>
      <w:spacing w:lineRule="auto" w:line="240" w:before="0" w:after="20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12" w:customStyle="1">
    <w:name w:val="Без интервала21"/>
    <w:link w:val="22"/>
    <w:qFormat/>
    <w:pPr>
      <w:widowControl/>
      <w:bidi w:val="0"/>
      <w:spacing w:lineRule="auto" w:line="240" w:before="0" w:after="0"/>
      <w:jc w:val="star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IntenseQuote">
    <w:name w:val="Intense Quote"/>
    <w:basedOn w:val="Normal"/>
    <w:next w:val="Normal"/>
    <w:link w:val="Style11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start="864" w:end="864"/>
      <w:jc w:val="center"/>
    </w:pPr>
    <w:rPr>
      <w:i/>
      <w:color w:themeColor="accent1" w:themeShade="bf" w:val="365F91"/>
    </w:rPr>
  </w:style>
  <w:style w:type="paragraph" w:styleId="xl861" w:customStyle="1">
    <w:name w:val="xl861"/>
    <w:basedOn w:val="Normal"/>
    <w:link w:val="xl86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213" w:customStyle="1">
    <w:name w:val="Стиль21"/>
    <w:basedOn w:val="ListNumber2"/>
    <w:link w:val="23"/>
    <w:qFormat/>
    <w:pPr>
      <w:keepNext w:val="true"/>
      <w:keepLines/>
      <w:widowControl w:val="false"/>
      <w:tabs>
        <w:tab w:val="clear" w:pos="432"/>
        <w:tab w:val="left" w:pos="360" w:leader="none"/>
      </w:tabs>
      <w:spacing w:before="0" w:after="60"/>
      <w:ind w:hanging="1125" w:start="2186"/>
      <w:contextualSpacing w:val="false"/>
      <w:jc w:val="both"/>
    </w:pPr>
    <w:rPr>
      <w:b/>
    </w:rPr>
  </w:style>
  <w:style w:type="paragraph" w:styleId="ListNumber2">
    <w:name w:val="List Number 2"/>
    <w:basedOn w:val="Normal"/>
    <w:link w:val="27"/>
    <w:pPr>
      <w:tabs>
        <w:tab w:val="clear" w:pos="708"/>
        <w:tab w:val="left" w:pos="432" w:leader="none"/>
      </w:tabs>
      <w:spacing w:before="0" w:after="0"/>
      <w:ind w:hanging="432" w:start="432"/>
      <w:contextualSpacing/>
    </w:pPr>
    <w:rPr/>
  </w:style>
  <w:style w:type="paragraph" w:styleId="Endnote1" w:customStyle="1">
    <w:name w:val="Endnote1"/>
    <w:basedOn w:val="Normal"/>
    <w:link w:val="Endnote"/>
    <w:qFormat/>
    <w:pPr/>
    <w:rPr>
      <w:sz w:val="20"/>
    </w:rPr>
  </w:style>
  <w:style w:type="paragraph" w:styleId="BalloonText">
    <w:name w:val="Balloon Text"/>
    <w:basedOn w:val="Normal"/>
    <w:link w:val="Style12"/>
    <w:qFormat/>
    <w:pPr/>
    <w:rPr>
      <w:rFonts w:ascii="Tahoma" w:hAnsi="Tahoma"/>
      <w:sz w:val="16"/>
    </w:rPr>
  </w:style>
  <w:style w:type="paragraph" w:styleId="xl1031" w:customStyle="1">
    <w:name w:val="xl1031"/>
    <w:basedOn w:val="Normal"/>
    <w:link w:val="xl103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1110" w:customStyle="1">
    <w:name w:val="Текст выноски Знак11"/>
    <w:basedOn w:val="133"/>
    <w:link w:val="14"/>
    <w:qFormat/>
    <w:pPr/>
    <w:rPr>
      <w:rFonts w:ascii="Tahoma" w:hAnsi="Tahoma"/>
      <w:sz w:val="16"/>
    </w:rPr>
  </w:style>
  <w:style w:type="paragraph" w:styleId="IndexHeading">
    <w:name w:val="index heading"/>
    <w:basedOn w:val="Style31"/>
    <w:pPr/>
    <w:rPr/>
  </w:style>
  <w:style w:type="paragraph" w:styleId="TOCHeading">
    <w:name w:val="TOC Heading"/>
    <w:link w:val="Style13"/>
    <w:qFormat/>
    <w:pPr>
      <w:widowControl/>
      <w:bidi w:val="0"/>
      <w:spacing w:lineRule="auto" w:line="276" w:before="0" w:after="200"/>
      <w:jc w:val="star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xl821" w:customStyle="1">
    <w:name w:val="xl821"/>
    <w:basedOn w:val="Normal"/>
    <w:link w:val="xl82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2"/>
    </w:rPr>
  </w:style>
  <w:style w:type="paragraph" w:styleId="xl971" w:customStyle="1">
    <w:name w:val="xl971"/>
    <w:basedOn w:val="Normal"/>
    <w:link w:val="xl9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xl771" w:customStyle="1">
    <w:name w:val="xl771"/>
    <w:basedOn w:val="Normal"/>
    <w:link w:val="xl7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xl1061" w:customStyle="1">
    <w:name w:val="xl1061"/>
    <w:basedOn w:val="Normal"/>
    <w:link w:val="xl106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ConsNonformat1" w:customStyle="1">
    <w:name w:val="ConsNonformat1"/>
    <w:link w:val="ConsNonformat"/>
    <w:qFormat/>
    <w:pPr>
      <w:widowControl w:val="false"/>
      <w:bidi w:val="0"/>
      <w:spacing w:lineRule="auto" w:line="240" w:before="0" w:after="0"/>
      <w:ind w:end="19772"/>
      <w:jc w:val="start"/>
    </w:pPr>
    <w:rPr>
      <w:rFonts w:ascii="Courier New" w:hAnsi="Courier New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xl891" w:customStyle="1">
    <w:name w:val="xl891"/>
    <w:basedOn w:val="Normal"/>
    <w:link w:val="xl89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511" w:customStyle="1">
    <w:name w:val="Знак Знак Знак Знак51"/>
    <w:basedOn w:val="Normal"/>
    <w:link w:val="5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1112" w:customStyle="1">
    <w:name w:val="Обычный11"/>
    <w:link w:val="1"/>
    <w:qFormat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xl941" w:customStyle="1">
    <w:name w:val="xl941"/>
    <w:basedOn w:val="Normal"/>
    <w:link w:val="xl9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blk11" w:customStyle="1">
    <w:name w:val="blk11"/>
    <w:basedOn w:val="133"/>
    <w:link w:val="blk1"/>
    <w:qFormat/>
    <w:pPr/>
    <w:rPr/>
  </w:style>
  <w:style w:type="paragraph" w:styleId="Quote">
    <w:name w:val="Quote"/>
    <w:basedOn w:val="Normal"/>
    <w:next w:val="Normal"/>
    <w:link w:val="24"/>
    <w:qFormat/>
    <w:pPr>
      <w:spacing w:before="160" w:after="0"/>
      <w:jc w:val="center"/>
    </w:pPr>
    <w:rPr>
      <w:i/>
      <w:color w:themeColor="text1" w:themeTint="bf" w:val="404040"/>
    </w:rPr>
  </w:style>
  <w:style w:type="paragraph" w:styleId="xl1071" w:customStyle="1">
    <w:name w:val="xl1071"/>
    <w:basedOn w:val="Normal"/>
    <w:link w:val="xl107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412" w:customStyle="1">
    <w:name w:val="Знак Знак Знак Знак41"/>
    <w:basedOn w:val="Normal"/>
    <w:link w:val="42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xl911" w:customStyle="1">
    <w:name w:val="xl911"/>
    <w:basedOn w:val="Normal"/>
    <w:link w:val="xl91"/>
    <w:qFormat/>
    <w:pPr>
      <w:spacing w:beforeAutospacing="1" w:afterAutospacing="1"/>
      <w:jc w:val="center"/>
    </w:pPr>
    <w:rPr>
      <w:sz w:val="22"/>
    </w:rPr>
  </w:style>
  <w:style w:type="paragraph" w:styleId="ConsPlusDocList1" w:customStyle="1">
    <w:name w:val="ConsPlusDocList1"/>
    <w:link w:val="ConsPlusDocList"/>
    <w:qFormat/>
    <w:pPr>
      <w:widowControl w:val="false"/>
      <w:bidi w:val="0"/>
      <w:spacing w:lineRule="auto" w:line="240" w:before="0" w:after="0"/>
      <w:jc w:val="start"/>
    </w:pPr>
    <w:rPr>
      <w:rFonts w:ascii="Courier New" w:hAnsi="Courier New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xl831" w:customStyle="1">
    <w:name w:val="xl831"/>
    <w:basedOn w:val="Normal"/>
    <w:link w:val="xl8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Normal11" w:customStyle="1">
    <w:name w:val="Normal11"/>
    <w:link w:val="Normal1"/>
    <w:qFormat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user" w:customStyle="1">
    <w:name w:val="Содержимое таблицы (user)"/>
    <w:basedOn w:val="Normal"/>
    <w:qFormat/>
    <w:pPr>
      <w:widowControl w:val="false"/>
    </w:pPr>
    <w:rPr/>
  </w:style>
  <w:style w:type="paragraph" w:styleId="BodyText3">
    <w:name w:val="Body Text 3"/>
    <w:basedOn w:val="Normal"/>
    <w:link w:val="33"/>
    <w:qFormat/>
    <w:pPr>
      <w:spacing w:before="0" w:after="120"/>
    </w:pPr>
    <w:rPr>
      <w:sz w:val="16"/>
    </w:rPr>
  </w:style>
  <w:style w:type="paragraph" w:styleId="120" w:customStyle="1">
    <w:name w:val="Слабая ссылка1"/>
    <w:basedOn w:val="133"/>
    <w:link w:val="SubtleReference"/>
    <w:qFormat/>
    <w:pPr/>
    <w:rPr>
      <w:smallCaps/>
      <w:color w:themeColor="text1" w:themeTint="a5" w:val="5A5A5A"/>
    </w:rPr>
  </w:style>
  <w:style w:type="paragraph" w:styleId="122" w:customStyle="1">
    <w:name w:val="Строгий1"/>
    <w:basedOn w:val="133"/>
    <w:qFormat/>
    <w:pPr/>
    <w:rPr>
      <w:b/>
    </w:rPr>
  </w:style>
  <w:style w:type="paragraph" w:styleId="1113" w:customStyle="1">
    <w:name w:val="Стиль11"/>
    <w:basedOn w:val="Normal"/>
    <w:link w:val="15"/>
    <w:qFormat/>
    <w:pPr>
      <w:keepNext w:val="true"/>
      <w:keepLines/>
      <w:widowControl w:val="false"/>
      <w:numPr>
        <w:ilvl w:val="1"/>
        <w:numId w:val="7"/>
      </w:numPr>
      <w:tabs>
        <w:tab w:val="clear" w:pos="708"/>
        <w:tab w:val="left" w:pos="432" w:leader="none"/>
      </w:tabs>
      <w:spacing w:before="0" w:after="60"/>
      <w:ind w:hanging="432" w:start="432"/>
    </w:pPr>
    <w:rPr>
      <w:b/>
      <w:sz w:val="28"/>
    </w:rPr>
  </w:style>
  <w:style w:type="paragraph" w:styleId="314" w:customStyle="1">
    <w:name w:val="Стиль31"/>
    <w:basedOn w:val="BodyTextIndent2"/>
    <w:link w:val="34"/>
    <w:qFormat/>
    <w:pPr>
      <w:widowControl/>
      <w:tabs>
        <w:tab w:val="clear" w:pos="708"/>
        <w:tab w:val="left" w:pos="2160" w:leader="none"/>
      </w:tabs>
      <w:spacing w:lineRule="auto" w:line="240"/>
      <w:ind w:hanging="360" w:start="2160" w:end="0"/>
    </w:pPr>
    <w:rPr>
      <w:sz w:val="24"/>
    </w:rPr>
  </w:style>
  <w:style w:type="paragraph" w:styleId="BodyTextIndent2">
    <w:name w:val="Body Text Indent 2"/>
    <w:basedOn w:val="Normal"/>
    <w:link w:val="25"/>
    <w:qFormat/>
    <w:pPr>
      <w:widowControl w:val="false"/>
      <w:spacing w:lineRule="atLeast" w:line="120"/>
      <w:ind w:firstLine="182" w:end="4"/>
      <w:jc w:val="both"/>
    </w:pPr>
    <w:rPr>
      <w:sz w:val="22"/>
    </w:rPr>
  </w:style>
  <w:style w:type="paragraph" w:styleId="xl871" w:customStyle="1">
    <w:name w:val="xl871"/>
    <w:basedOn w:val="Normal"/>
    <w:link w:val="xl8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2"/>
    </w:rPr>
  </w:style>
  <w:style w:type="paragraph" w:styleId="214" w:customStyle="1">
    <w:name w:val="Знак Знак Знак Знак21"/>
    <w:basedOn w:val="Normal"/>
    <w:link w:val="26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xl951" w:customStyle="1">
    <w:name w:val="xl951"/>
    <w:basedOn w:val="Normal"/>
    <w:link w:val="xl95"/>
    <w:qFormat/>
    <w:pPr>
      <w:spacing w:beforeAutospacing="1" w:afterAutospacing="1"/>
      <w:jc w:val="end"/>
    </w:pPr>
    <w:rPr>
      <w:i/>
      <w:sz w:val="22"/>
    </w:rPr>
  </w:style>
  <w:style w:type="paragraph" w:styleId="xl961" w:customStyle="1">
    <w:name w:val="xl961"/>
    <w:basedOn w:val="Normal"/>
    <w:link w:val="xl96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611" w:customStyle="1">
    <w:name w:val="Знак Знак Знак Знак61"/>
    <w:basedOn w:val="Normal"/>
    <w:link w:val="61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Heading3Char1" w:customStyle="1">
    <w:name w:val="Heading 3 Char1"/>
    <w:basedOn w:val="133"/>
    <w:link w:val="Heading3Char"/>
    <w:qFormat/>
    <w:pPr/>
    <w:rPr>
      <w:rFonts w:ascii="Arial" w:hAnsi="Arial"/>
      <w:color w:themeColor="accent1" w:themeShade="bf" w:val="365F91"/>
      <w:sz w:val="28"/>
    </w:rPr>
  </w:style>
  <w:style w:type="paragraph" w:styleId="xl751" w:customStyle="1">
    <w:name w:val="xl751"/>
    <w:basedOn w:val="Normal"/>
    <w:link w:val="xl7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HeaderChar1" w:customStyle="1">
    <w:name w:val="Header Char1"/>
    <w:basedOn w:val="133"/>
    <w:link w:val="HeaderChar"/>
    <w:qFormat/>
    <w:pPr/>
    <w:rPr/>
  </w:style>
  <w:style w:type="paragraph" w:styleId="xl761" w:customStyle="1">
    <w:name w:val="xl761"/>
    <w:basedOn w:val="Normal"/>
    <w:link w:val="xl76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512" w:customStyle="1">
    <w:name w:val="Абзац списка51"/>
    <w:basedOn w:val="Normal"/>
    <w:link w:val="51"/>
    <w:qFormat/>
    <w:pPr>
      <w:spacing w:before="0" w:after="0"/>
      <w:ind w:start="720"/>
      <w:contextualSpacing/>
    </w:pPr>
    <w:rPr/>
  </w:style>
  <w:style w:type="paragraph" w:styleId="TOC3">
    <w:name w:val="toc 3"/>
    <w:basedOn w:val="Normal"/>
    <w:next w:val="Normal"/>
    <w:link w:val="35"/>
    <w:uiPriority w:val="39"/>
    <w:pPr>
      <w:spacing w:before="0" w:after="100"/>
      <w:ind w:start="440"/>
    </w:pPr>
    <w:rPr/>
  </w:style>
  <w:style w:type="paragraph" w:styleId="xl801" w:customStyle="1">
    <w:name w:val="xl801"/>
    <w:basedOn w:val="Normal"/>
    <w:link w:val="xl8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2"/>
    </w:rPr>
  </w:style>
  <w:style w:type="paragraph" w:styleId="List3">
    <w:name w:val="List 3"/>
    <w:basedOn w:val="Normal"/>
    <w:link w:val="36"/>
    <w:qFormat/>
    <w:pPr>
      <w:spacing w:before="0" w:after="0"/>
      <w:ind w:hanging="283" w:start="849"/>
      <w:contextualSpacing/>
    </w:pPr>
    <w:rPr/>
  </w:style>
  <w:style w:type="paragraph" w:styleId="xl781" w:customStyle="1">
    <w:name w:val="xl781"/>
    <w:basedOn w:val="Normal"/>
    <w:link w:val="xl78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FooterChar1" w:customStyle="1">
    <w:name w:val="Footer Char1"/>
    <w:basedOn w:val="133"/>
    <w:link w:val="FooterChar"/>
    <w:qFormat/>
    <w:pPr/>
    <w:rPr/>
  </w:style>
  <w:style w:type="paragraph" w:styleId="pj11" w:customStyle="1">
    <w:name w:val="pj11"/>
    <w:basedOn w:val="Normal"/>
    <w:link w:val="pj1"/>
    <w:qFormat/>
    <w:pPr>
      <w:spacing w:before="0" w:after="80"/>
      <w:jc w:val="both"/>
    </w:pPr>
    <w:rPr>
      <w:sz w:val="11"/>
    </w:rPr>
  </w:style>
  <w:style w:type="paragraph" w:styleId="1114" w:customStyle="1">
    <w:name w:val="Раздел ТЗ 11"/>
    <w:basedOn w:val="List3"/>
    <w:link w:val="16"/>
    <w:qFormat/>
    <w:pPr>
      <w:numPr>
        <w:ilvl w:val="0"/>
        <w:numId w:val="8"/>
      </w:numPr>
      <w:tabs>
        <w:tab w:val="clear" w:pos="708"/>
        <w:tab w:val="left" w:pos="360" w:leader="none"/>
        <w:tab w:val="left" w:pos="574" w:leader="none"/>
      </w:tabs>
      <w:spacing w:before="240" w:after="120"/>
      <w:contextualSpacing/>
      <w:jc w:val="both"/>
    </w:pPr>
    <w:rPr>
      <w:b/>
      <w:sz w:val="26"/>
    </w:rPr>
  </w:style>
  <w:style w:type="paragraph" w:styleId="BlockText">
    <w:name w:val="Block Text"/>
    <w:basedOn w:val="Normal"/>
    <w:link w:val="Style16"/>
    <w:qFormat/>
    <w:pPr>
      <w:widowControl w:val="false"/>
      <w:ind w:start="-540" w:end="-282"/>
      <w:jc w:val="center"/>
    </w:pPr>
    <w:rPr>
      <w:b/>
      <w:spacing w:val="-4"/>
    </w:rPr>
  </w:style>
  <w:style w:type="paragraph" w:styleId="315" w:customStyle="1">
    <w:name w:val="Знак Знак Знак Знак31"/>
    <w:basedOn w:val="Normal"/>
    <w:link w:val="37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xl721" w:customStyle="1">
    <w:name w:val="xl721"/>
    <w:basedOn w:val="Normal"/>
    <w:link w:val="xl72"/>
    <w:qFormat/>
    <w:pPr>
      <w:spacing w:beforeAutospacing="1" w:afterAutospacing="1"/>
    </w:pPr>
    <w:rPr>
      <w:sz w:val="22"/>
    </w:rPr>
  </w:style>
  <w:style w:type="paragraph" w:styleId="xl991" w:customStyle="1">
    <w:name w:val="xl991"/>
    <w:basedOn w:val="Normal"/>
    <w:link w:val="xl99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xl1091" w:customStyle="1">
    <w:name w:val="xl1091"/>
    <w:basedOn w:val="Normal"/>
    <w:link w:val="xl109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Style511" w:customStyle="1">
    <w:name w:val="Style51"/>
    <w:basedOn w:val="Normal"/>
    <w:link w:val="Style51"/>
    <w:qFormat/>
    <w:pPr>
      <w:widowControl w:val="false"/>
      <w:spacing w:lineRule="exact" w:line="252"/>
      <w:ind w:firstLine="696"/>
      <w:jc w:val="both"/>
    </w:pPr>
    <w:rPr/>
  </w:style>
  <w:style w:type="paragraph" w:styleId="ConsPlusTitle1" w:customStyle="1">
    <w:name w:val="ConsPlusTitle1"/>
    <w:link w:val="ConsPlusTitle"/>
    <w:qFormat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Times New Roman"/>
      <w:b/>
      <w:color w:val="000000"/>
      <w:kern w:val="0"/>
      <w:sz w:val="20"/>
      <w:szCs w:val="20"/>
      <w:lang w:val="ru-RU" w:eastAsia="ru-RU" w:bidi="ar-SA"/>
    </w:rPr>
  </w:style>
  <w:style w:type="paragraph" w:styleId="BodyTextIndent">
    <w:name w:val="Body Text Indent"/>
    <w:basedOn w:val="Normal"/>
    <w:link w:val="Style17"/>
    <w:pPr>
      <w:spacing w:before="0" w:after="120"/>
      <w:ind w:start="283"/>
    </w:pPr>
    <w:rPr/>
  </w:style>
  <w:style w:type="paragraph" w:styleId="Heading7Char1" w:customStyle="1">
    <w:name w:val="Heading 7 Char1"/>
    <w:basedOn w:val="133"/>
    <w:link w:val="Heading7Char"/>
    <w:qFormat/>
    <w:pPr/>
    <w:rPr>
      <w:rFonts w:ascii="Arial" w:hAnsi="Arial"/>
      <w:color w:themeColor="text1" w:themeTint="a6" w:val="595959"/>
    </w:rPr>
  </w:style>
  <w:style w:type="paragraph" w:styleId="310" w:customStyle="1">
    <w:name w:val="Знак3"/>
    <w:basedOn w:val="Normal"/>
    <w:link w:val="Style18"/>
    <w:qFormat/>
    <w:pPr>
      <w:spacing w:lineRule="exact" w:line="240" w:before="0" w:after="160"/>
      <w:jc w:val="both"/>
    </w:pPr>
    <w:rPr/>
  </w:style>
  <w:style w:type="paragraph" w:styleId="123" w:customStyle="1">
    <w:name w:val="Гиперссылка1"/>
    <w:basedOn w:val="133"/>
    <w:qFormat/>
    <w:pPr/>
    <w:rPr>
      <w:color w:val="0000FF"/>
      <w:u w:val="single"/>
    </w:rPr>
  </w:style>
  <w:style w:type="paragraph" w:styleId="Footnote1" w:customStyle="1">
    <w:name w:val="Footnote1"/>
    <w:basedOn w:val="Normal"/>
    <w:link w:val="Footnote"/>
    <w:qFormat/>
    <w:pPr/>
    <w:rPr>
      <w:sz w:val="20"/>
    </w:rPr>
  </w:style>
  <w:style w:type="paragraph" w:styleId="TOC1">
    <w:name w:val="toc 1"/>
    <w:basedOn w:val="Normal"/>
    <w:next w:val="Normal"/>
    <w:link w:val="18"/>
    <w:uiPriority w:val="39"/>
    <w:pPr>
      <w:spacing w:before="0" w:after="100"/>
    </w:pPr>
    <w:rPr/>
  </w:style>
  <w:style w:type="paragraph" w:styleId="PlainText">
    <w:name w:val="Plain Text"/>
    <w:basedOn w:val="Normal"/>
    <w:link w:val="Style19"/>
    <w:qFormat/>
    <w:pPr/>
    <w:rPr>
      <w:rFonts w:ascii="Consolas" w:hAnsi="Consolas"/>
      <w:sz w:val="21"/>
    </w:rPr>
  </w:style>
  <w:style w:type="paragraph" w:styleId="xl741" w:customStyle="1">
    <w:name w:val="xl741"/>
    <w:basedOn w:val="Normal"/>
    <w:link w:val="xl74"/>
    <w:qFormat/>
    <w:pPr>
      <w:spacing w:beforeAutospacing="1" w:afterAutospacing="1"/>
    </w:pPr>
    <w:rPr>
      <w:sz w:val="22"/>
    </w:rPr>
  </w:style>
  <w:style w:type="paragraph" w:styleId="124" w:customStyle="1">
    <w:name w:val="Сильная ссылка1"/>
    <w:basedOn w:val="133"/>
    <w:link w:val="IntenseReference"/>
    <w:qFormat/>
    <w:pPr/>
    <w:rPr>
      <w:b/>
      <w:smallCaps/>
      <w:color w:themeColor="accent1" w:themeShade="bf" w:val="365F91"/>
      <w:spacing w:val="5"/>
    </w:rPr>
  </w:style>
  <w:style w:type="paragraph" w:styleId="xl901" w:customStyle="1">
    <w:name w:val="xl901"/>
    <w:basedOn w:val="Normal"/>
    <w:link w:val="xl90"/>
    <w:qFormat/>
    <w:pPr>
      <w:spacing w:beforeAutospacing="1" w:afterAutospacing="1"/>
    </w:pPr>
    <w:rPr>
      <w:sz w:val="22"/>
    </w:rPr>
  </w:style>
  <w:style w:type="paragraph" w:styleId="xl1131" w:customStyle="1">
    <w:name w:val="xl1131"/>
    <w:basedOn w:val="Normal"/>
    <w:link w:val="xl113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xl841" w:customStyle="1">
    <w:name w:val="xl841"/>
    <w:basedOn w:val="Normal"/>
    <w:link w:val="xl84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TOC9">
    <w:name w:val="toc 9"/>
    <w:basedOn w:val="Normal"/>
    <w:next w:val="Normal"/>
    <w:link w:val="91"/>
    <w:uiPriority w:val="39"/>
    <w:pPr>
      <w:spacing w:before="0" w:after="100"/>
      <w:ind w:start="1760"/>
    </w:pPr>
    <w:rPr/>
  </w:style>
  <w:style w:type="paragraph" w:styleId="125" w:customStyle="1">
    <w:name w:val="Сильное выделение1"/>
    <w:basedOn w:val="133"/>
    <w:link w:val="IntenseEmphasis"/>
    <w:qFormat/>
    <w:pPr/>
    <w:rPr>
      <w:i/>
      <w:color w:themeColor="accent1" w:themeShade="bf" w:val="365F91"/>
    </w:rPr>
  </w:style>
  <w:style w:type="paragraph" w:styleId="xl921" w:customStyle="1">
    <w:name w:val="xl921"/>
    <w:basedOn w:val="Normal"/>
    <w:link w:val="xl92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ConsPlusNonformat1" w:customStyle="1">
    <w:name w:val="ConsPlusNonformat1"/>
    <w:link w:val="ConsPlusNonformat"/>
    <w:qFormat/>
    <w:pPr>
      <w:widowControl w:val="false"/>
      <w:bidi w:val="0"/>
      <w:spacing w:lineRule="auto" w:line="240" w:before="0" w:after="0"/>
      <w:jc w:val="start"/>
    </w:pPr>
    <w:rPr>
      <w:rFonts w:ascii="Courier New" w:hAnsi="Courier New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xl1041" w:customStyle="1">
    <w:name w:val="xl1041"/>
    <w:basedOn w:val="Normal"/>
    <w:link w:val="xl104"/>
    <w:qFormat/>
    <w:pPr>
      <w:pBdr>
        <w:bottom w:val="single" w:sz="4" w:space="0" w:color="000000"/>
      </w:pBdr>
      <w:spacing w:beforeAutospacing="1" w:afterAutospacing="1"/>
      <w:jc w:val="center"/>
    </w:pPr>
    <w:rPr>
      <w:sz w:val="22"/>
    </w:rPr>
  </w:style>
  <w:style w:type="paragraph" w:styleId="xl851" w:customStyle="1">
    <w:name w:val="xl851"/>
    <w:basedOn w:val="Normal"/>
    <w:link w:val="xl85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2"/>
    </w:rPr>
  </w:style>
  <w:style w:type="paragraph" w:styleId="annotationsubject">
    <w:name w:val="annotation subject"/>
    <w:basedOn w:val="CommentText"/>
    <w:next w:val="CommentText"/>
    <w:link w:val="Style20"/>
    <w:qFormat/>
    <w:pPr/>
    <w:rPr>
      <w:b/>
    </w:rPr>
  </w:style>
  <w:style w:type="paragraph" w:styleId="TOC8">
    <w:name w:val="toc 8"/>
    <w:basedOn w:val="Normal"/>
    <w:next w:val="Normal"/>
    <w:link w:val="81"/>
    <w:uiPriority w:val="39"/>
    <w:pPr>
      <w:spacing w:before="0" w:after="100"/>
      <w:ind w:start="1540"/>
    </w:pPr>
    <w:rPr/>
  </w:style>
  <w:style w:type="paragraph" w:styleId="TableofFigures">
    <w:name w:val="table of figures"/>
    <w:basedOn w:val="Normal"/>
    <w:next w:val="Normal"/>
    <w:link w:val="Style22"/>
    <w:pPr/>
    <w:rPr/>
  </w:style>
  <w:style w:type="paragraph" w:styleId="126" w:customStyle="1">
    <w:name w:val="Без интервала12"/>
    <w:link w:val="19"/>
    <w:qFormat/>
    <w:pPr>
      <w:widowControl/>
      <w:bidi w:val="0"/>
      <w:spacing w:lineRule="auto" w:line="240" w:before="0" w:after="0"/>
      <w:jc w:val="star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xl1021" w:customStyle="1">
    <w:name w:val="xl1021"/>
    <w:basedOn w:val="Normal"/>
    <w:link w:val="xl102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blk31" w:customStyle="1">
    <w:name w:val="blk31"/>
    <w:basedOn w:val="133"/>
    <w:link w:val="blk3"/>
    <w:qFormat/>
    <w:pPr/>
    <w:rPr/>
  </w:style>
  <w:style w:type="paragraph" w:styleId="xl881" w:customStyle="1">
    <w:name w:val="xl881"/>
    <w:basedOn w:val="Normal"/>
    <w:link w:val="xl88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sz w:val="22"/>
    </w:rPr>
  </w:style>
  <w:style w:type="paragraph" w:styleId="3111" w:customStyle="1">
    <w:name w:val="Абзац списка311"/>
    <w:basedOn w:val="Normal"/>
    <w:link w:val="311"/>
    <w:qFormat/>
    <w:pPr>
      <w:spacing w:before="0" w:after="0"/>
      <w:ind w:start="720"/>
      <w:contextualSpacing/>
    </w:pPr>
    <w:rPr/>
  </w:style>
  <w:style w:type="paragraph" w:styleId="ConsPlusNormal1" w:customStyle="1">
    <w:name w:val="ConsPlusNormal1"/>
    <w:link w:val="ConsPlusNormal"/>
    <w:qFormat/>
    <w:pPr>
      <w:widowControl/>
      <w:bidi w:val="0"/>
      <w:spacing w:lineRule="auto" w:line="240" w:before="0" w:after="0"/>
      <w:ind w:firstLine="720"/>
      <w:jc w:val="start"/>
    </w:pPr>
    <w:rPr>
      <w:rFonts w:ascii="Arial" w:hAnsi="Arial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413" w:customStyle="1">
    <w:name w:val="Абзац списка41"/>
    <w:basedOn w:val="Normal"/>
    <w:link w:val="43"/>
    <w:qFormat/>
    <w:pPr>
      <w:spacing w:before="0" w:after="0"/>
      <w:ind w:start="720"/>
      <w:contextualSpacing/>
    </w:pPr>
    <w:rPr/>
  </w:style>
  <w:style w:type="paragraph" w:styleId="TOC5">
    <w:name w:val="toc 5"/>
    <w:basedOn w:val="Normal"/>
    <w:next w:val="Normal"/>
    <w:link w:val="53"/>
    <w:uiPriority w:val="39"/>
    <w:pPr>
      <w:spacing w:before="0" w:after="100"/>
      <w:ind w:start="880"/>
    </w:pPr>
    <w:rPr/>
  </w:style>
  <w:style w:type="paragraph" w:styleId="xl1011" w:customStyle="1">
    <w:name w:val="xl1011"/>
    <w:basedOn w:val="Normal"/>
    <w:link w:val="xl10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Heading2Char1" w:customStyle="1">
    <w:name w:val="Heading 2 Char1"/>
    <w:basedOn w:val="133"/>
    <w:link w:val="Heading2Char"/>
    <w:qFormat/>
    <w:pPr/>
    <w:rPr>
      <w:rFonts w:ascii="Arial" w:hAnsi="Arial"/>
      <w:color w:themeColor="accent1" w:themeShade="bf" w:val="365F91"/>
      <w:sz w:val="32"/>
    </w:rPr>
  </w:style>
  <w:style w:type="paragraph" w:styleId="1115" w:customStyle="1">
    <w:name w:val="Текст11"/>
    <w:basedOn w:val="Normal"/>
    <w:link w:val="110"/>
    <w:qFormat/>
    <w:pPr/>
    <w:rPr>
      <w:rFonts w:ascii="Consolas" w:hAnsi="Consolas"/>
      <w:sz w:val="21"/>
    </w:rPr>
  </w:style>
  <w:style w:type="paragraph" w:styleId="TitleChar1" w:customStyle="1">
    <w:name w:val="Title Char1"/>
    <w:basedOn w:val="133"/>
    <w:link w:val="TitleChar"/>
    <w:qFormat/>
    <w:pPr/>
    <w:rPr>
      <w:rFonts w:ascii="Arial" w:hAnsi="Arial"/>
      <w:spacing w:val="-10"/>
      <w:sz w:val="56"/>
    </w:rPr>
  </w:style>
  <w:style w:type="paragraph" w:styleId="Heading5Char1" w:customStyle="1">
    <w:name w:val="Heading 5 Char1"/>
    <w:basedOn w:val="133"/>
    <w:link w:val="Heading5Char"/>
    <w:qFormat/>
    <w:pPr/>
    <w:rPr>
      <w:rFonts w:ascii="Arial" w:hAnsi="Arial"/>
      <w:color w:themeColor="accent1" w:themeShade="bf" w:val="365F91"/>
    </w:rPr>
  </w:style>
  <w:style w:type="paragraph" w:styleId="127" w:customStyle="1">
    <w:name w:val="Выделение1"/>
    <w:basedOn w:val="133"/>
    <w:qFormat/>
    <w:pPr/>
    <w:rPr>
      <w:i/>
    </w:rPr>
  </w:style>
  <w:style w:type="paragraph" w:styleId="xl731" w:customStyle="1">
    <w:name w:val="xl731"/>
    <w:basedOn w:val="Normal"/>
    <w:link w:val="xl73"/>
    <w:qFormat/>
    <w:pPr>
      <w:spacing w:beforeAutospacing="1" w:afterAutospacing="1"/>
      <w:jc w:val="center"/>
    </w:pPr>
    <w:rPr>
      <w:sz w:val="22"/>
    </w:rPr>
  </w:style>
  <w:style w:type="paragraph" w:styleId="BodyText2">
    <w:name w:val="Body Text 2"/>
    <w:basedOn w:val="Normal"/>
    <w:link w:val="28"/>
    <w:qFormat/>
    <w:pPr>
      <w:spacing w:lineRule="auto" w:line="312"/>
      <w:jc w:val="center"/>
    </w:pPr>
    <w:rPr/>
  </w:style>
  <w:style w:type="paragraph" w:styleId="128" w:customStyle="1">
    <w:name w:val="Знак Знак Знак Знак Знак Знак Знак Знак Знак Знак1"/>
    <w:basedOn w:val="Normal"/>
    <w:link w:val="Style23"/>
    <w:qFormat/>
    <w:pPr>
      <w:spacing w:beforeAutospacing="1" w:afterAutospacing="1"/>
    </w:pPr>
    <w:rPr>
      <w:rFonts w:ascii="Tahoma" w:hAnsi="Tahoma"/>
      <w:sz w:val="20"/>
    </w:rPr>
  </w:style>
  <w:style w:type="paragraph" w:styleId="129" w:customStyle="1">
    <w:name w:val="Номер страницы1"/>
    <w:basedOn w:val="133"/>
    <w:qFormat/>
    <w:pPr/>
    <w:rPr/>
  </w:style>
  <w:style w:type="paragraph" w:styleId="BodyTextIndent3">
    <w:name w:val="Body Text Indent 3"/>
    <w:basedOn w:val="Normal"/>
    <w:link w:val="38"/>
    <w:qFormat/>
    <w:pPr>
      <w:spacing w:before="0" w:after="120"/>
      <w:ind w:start="283"/>
    </w:pPr>
    <w:rPr>
      <w:sz w:val="16"/>
    </w:rPr>
  </w:style>
  <w:style w:type="paragraph" w:styleId="xl1101" w:customStyle="1">
    <w:name w:val="xl1101"/>
    <w:basedOn w:val="Normal"/>
    <w:link w:val="xl11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82" w:customStyle="1">
    <w:name w:val="Знак Знак Знак Знак8"/>
    <w:basedOn w:val="Normal"/>
    <w:link w:val="Style24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Subtitle">
    <w:name w:val="Subtitle"/>
    <w:basedOn w:val="Normal"/>
    <w:next w:val="Normal"/>
    <w:link w:val="Style25"/>
    <w:uiPriority w:val="11"/>
    <w:qFormat/>
    <w:pPr/>
    <w:rPr>
      <w:color w:themeColor="text1" w:themeTint="a6" w:val="595959"/>
      <w:spacing w:val="15"/>
      <w:sz w:val="28"/>
    </w:rPr>
  </w:style>
  <w:style w:type="paragraph" w:styleId="xl1051" w:customStyle="1">
    <w:name w:val="xl1051"/>
    <w:basedOn w:val="Normal"/>
    <w:link w:val="xl105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711" w:customStyle="1">
    <w:name w:val="Знак Знак Знак Знак71"/>
    <w:basedOn w:val="Normal"/>
    <w:link w:val="72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xl1111" w:customStyle="1">
    <w:name w:val="xl1111"/>
    <w:basedOn w:val="Normal"/>
    <w:link w:val="xl111"/>
    <w:qFormat/>
    <w:pPr>
      <w:spacing w:beforeAutospacing="1" w:afterAutospacing="1"/>
      <w:jc w:val="end"/>
    </w:pPr>
    <w:rPr>
      <w:sz w:val="22"/>
    </w:rPr>
  </w:style>
  <w:style w:type="paragraph" w:styleId="130" w:customStyle="1">
    <w:name w:val="Знак сноски1"/>
    <w:basedOn w:val="133"/>
    <w:qFormat/>
    <w:pPr/>
    <w:rPr>
      <w:vertAlign w:val="superscript"/>
    </w:rPr>
  </w:style>
  <w:style w:type="paragraph" w:styleId="Heading4Char1" w:customStyle="1">
    <w:name w:val="Heading 4 Char1"/>
    <w:basedOn w:val="133"/>
    <w:link w:val="Heading4Char"/>
    <w:qFormat/>
    <w:pPr/>
    <w:rPr>
      <w:rFonts w:ascii="Arial" w:hAnsi="Arial"/>
      <w:i/>
      <w:color w:themeColor="accent1" w:themeShade="bf" w:val="365F91"/>
    </w:rPr>
  </w:style>
  <w:style w:type="paragraph" w:styleId="xl931" w:customStyle="1">
    <w:name w:val="xl931"/>
    <w:basedOn w:val="Normal"/>
    <w:link w:val="xl9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sz w:val="22"/>
    </w:rPr>
  </w:style>
  <w:style w:type="paragraph" w:styleId="Title">
    <w:name w:val="Title"/>
    <w:basedOn w:val="Normal"/>
    <w:link w:val="Style27"/>
    <w:uiPriority w:val="10"/>
    <w:qFormat/>
    <w:pPr>
      <w:jc w:val="center"/>
    </w:pPr>
    <w:rPr/>
  </w:style>
  <w:style w:type="paragraph" w:styleId="FontStyle211" w:customStyle="1">
    <w:name w:val="Font Style211"/>
    <w:basedOn w:val="133"/>
    <w:link w:val="FontStyle21"/>
    <w:qFormat/>
    <w:pPr/>
    <w:rPr>
      <w:rFonts w:ascii="Times New Roman" w:hAnsi="Times New Roman"/>
      <w:sz w:val="20"/>
    </w:rPr>
  </w:style>
  <w:style w:type="paragraph" w:styleId="Default1" w:customStyle="1">
    <w:name w:val="Default1"/>
    <w:link w:val="Default"/>
    <w:qFormat/>
    <w:pPr>
      <w:widowControl/>
      <w:pBdr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Footer">
    <w:name w:val="footer"/>
    <w:basedOn w:val="Normal"/>
    <w:link w:val="Style2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31" w:customStyle="1">
    <w:name w:val="Замещающий текст1"/>
    <w:basedOn w:val="133"/>
    <w:link w:val="PlaceholderText"/>
    <w:qFormat/>
    <w:pPr/>
    <w:rPr>
      <w:color w:val="666666"/>
    </w:rPr>
  </w:style>
  <w:style w:type="paragraph" w:styleId="NoSpacing11" w:customStyle="1">
    <w:name w:val="No Spacing11"/>
    <w:link w:val="NoSpacing1"/>
    <w:qFormat/>
    <w:pPr>
      <w:widowControl/>
      <w:bidi w:val="0"/>
      <w:spacing w:lineRule="auto" w:line="240" w:before="0" w:after="0"/>
      <w:jc w:val="star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132" w:customStyle="1">
    <w:name w:val="Знак примечания1"/>
    <w:basedOn w:val="133"/>
    <w:link w:val="CommentReference"/>
    <w:qFormat/>
    <w:pPr/>
    <w:rPr>
      <w:sz w:val="16"/>
    </w:rPr>
  </w:style>
  <w:style w:type="paragraph" w:styleId="133" w:customStyle="1">
    <w:name w:val="Основной шрифт абзаца1"/>
    <w:qFormat/>
    <w:pPr>
      <w:widowControl/>
      <w:bidi w:val="0"/>
      <w:spacing w:lineRule="auto" w:line="276" w:before="0" w:after="200"/>
      <w:jc w:val="star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321" w:customStyle="1">
    <w:name w:val="Абзац списка32"/>
    <w:basedOn w:val="Normal"/>
    <w:link w:val="39"/>
    <w:qFormat/>
    <w:pPr>
      <w:spacing w:before="0" w:after="0"/>
      <w:ind w:start="720"/>
      <w:contextualSpacing/>
    </w:pPr>
    <w:rPr/>
  </w:style>
  <w:style w:type="paragraph" w:styleId="215" w:customStyle="1">
    <w:name w:val="Знак21"/>
    <w:basedOn w:val="Normal"/>
    <w:link w:val="210"/>
    <w:qFormat/>
    <w:pPr>
      <w:spacing w:lineRule="exact" w:line="240" w:before="0" w:after="160"/>
    </w:pPr>
    <w:rPr>
      <w:rFonts w:ascii="Verdana" w:hAnsi="Verdana"/>
    </w:rPr>
  </w:style>
  <w:style w:type="paragraph" w:styleId="xl1001" w:customStyle="1">
    <w:name w:val="xl1001"/>
    <w:basedOn w:val="Normal"/>
    <w:link w:val="xl100"/>
    <w:qFormat/>
    <w:pPr>
      <w:spacing w:beforeAutospacing="1" w:afterAutospacing="1"/>
    </w:pPr>
    <w:rPr>
      <w:sz w:val="22"/>
    </w:rPr>
  </w:style>
  <w:style w:type="paragraph" w:styleId="134" w:customStyle="1">
    <w:name w:val="Пункт1"/>
    <w:basedOn w:val="Normal"/>
    <w:link w:val="Style29"/>
    <w:qFormat/>
    <w:pPr>
      <w:tabs>
        <w:tab w:val="clear" w:pos="708"/>
        <w:tab w:val="left" w:pos="1800" w:leader="none"/>
      </w:tabs>
      <w:ind w:hanging="504" w:start="1224"/>
      <w:jc w:val="both"/>
    </w:pPr>
    <w:rPr/>
  </w:style>
  <w:style w:type="paragraph" w:styleId="1116" w:customStyle="1">
    <w:name w:val="Знак Знак Знак Знак11"/>
    <w:basedOn w:val="Normal"/>
    <w:link w:val="112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1117" w:customStyle="1">
    <w:name w:val="Абзац списка111"/>
    <w:basedOn w:val="Normal"/>
    <w:link w:val="113"/>
    <w:qFormat/>
    <w:pPr>
      <w:spacing w:before="0" w:after="0"/>
      <w:ind w:start="720"/>
      <w:contextualSpacing/>
    </w:pPr>
    <w:rPr/>
  </w:style>
  <w:style w:type="paragraph" w:styleId="NoSpacing">
    <w:name w:val="No Spacing"/>
    <w:link w:val="Style30"/>
    <w:qFormat/>
    <w:pPr>
      <w:widowControl/>
      <w:bidi w:val="0"/>
      <w:spacing w:lineRule="auto" w:line="240" w:before="0" w:after="0"/>
      <w:jc w:val="star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135" w:customStyle="1">
    <w:name w:val="Слабое выделение1"/>
    <w:basedOn w:val="133"/>
    <w:link w:val="SubtleEmphasis"/>
    <w:qFormat/>
    <w:pPr/>
    <w:rPr>
      <w:i/>
      <w:color w:themeColor="text1" w:themeTint="bf" w:val="404040"/>
    </w:rPr>
  </w:style>
  <w:style w:type="paragraph" w:styleId="formattext1" w:customStyle="1">
    <w:name w:val="formattext1"/>
    <w:basedOn w:val="Normal"/>
    <w:link w:val="formattext"/>
    <w:qFormat/>
    <w:pPr>
      <w:spacing w:beforeAutospacing="1" w:afterAutospacing="1"/>
    </w:pPr>
    <w:rPr/>
  </w:style>
  <w:style w:type="paragraph" w:styleId="xl981" w:customStyle="1">
    <w:name w:val="xl981"/>
    <w:basedOn w:val="Normal"/>
    <w:link w:val="xl98"/>
    <w:qFormat/>
    <w:pPr>
      <w:spacing w:beforeAutospacing="1" w:afterAutospacing="1"/>
      <w:jc w:val="center"/>
    </w:pPr>
    <w:rPr>
      <w:sz w:val="22"/>
    </w:rPr>
  </w:style>
  <w:style w:type="paragraph" w:styleId="ConsPlusCell1" w:customStyle="1">
    <w:name w:val="ConsPlusCell1"/>
    <w:link w:val="ConsPlusCell"/>
    <w:qFormat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36" w:customStyle="1">
    <w:name w:val="Заголовок 1 Приложение"/>
    <w:basedOn w:val="Heading1"/>
    <w:next w:val="Normal"/>
    <w:qFormat/>
    <w:rsid w:val="00e16f06"/>
    <w:pPr>
      <w:keepLines/>
      <w:pageBreakBefore/>
      <w:numPr>
        <w:ilvl w:val="0"/>
        <w:numId w:val="11"/>
      </w:numPr>
      <w:tabs>
        <w:tab w:val="clear" w:pos="708"/>
        <w:tab w:val="left" w:pos="360" w:leader="none"/>
      </w:tabs>
      <w:suppressAutoHyphens w:val="true"/>
      <w:spacing w:lineRule="auto" w:line="360" w:before="240" w:after="240"/>
      <w:textAlignment w:val="baseline"/>
    </w:pPr>
    <w:rPr>
      <w:rFonts w:ascii="Times New Roman Полужирный" w:hAnsi="Times New Roman Полужирный" w:cs="Arial"/>
      <w:bCs/>
      <w:caps/>
      <w:color w:val="auto"/>
      <w:kern w:val="2"/>
      <w:sz w:val="24"/>
      <w:szCs w:val="32"/>
    </w:rPr>
  </w:style>
  <w:style w:type="paragraph" w:styleId="216" w:customStyle="1">
    <w:name w:val="Заголовок 2 Приложение"/>
    <w:basedOn w:val="Heading2"/>
    <w:next w:val="Normal"/>
    <w:qFormat/>
    <w:rsid w:val="00e16f06"/>
    <w:pPr>
      <w:keepLines/>
      <w:numPr>
        <w:ilvl w:val="1"/>
        <w:numId w:val="11"/>
      </w:numPr>
      <w:tabs>
        <w:tab w:val="clear" w:pos="708"/>
        <w:tab w:val="left" w:pos="360" w:leader="none"/>
      </w:tabs>
      <w:suppressAutoHyphens w:val="true"/>
      <w:spacing w:lineRule="auto" w:line="360" w:before="240" w:after="240"/>
      <w:ind w:end="0"/>
      <w:jc w:val="both"/>
    </w:pPr>
    <w:rPr>
      <w:b w:val="false"/>
      <w:bCs/>
      <w:color w:val="auto"/>
      <w:spacing w:val="-2"/>
      <w:sz w:val="24"/>
      <w:szCs w:val="24"/>
      <w:lang w:bidi="ru-RU"/>
    </w:rPr>
  </w:style>
  <w:style w:type="paragraph" w:styleId="316" w:customStyle="1">
    <w:name w:val="Заголовок 3 Приложение"/>
    <w:basedOn w:val="Heading3"/>
    <w:next w:val="Normal"/>
    <w:qFormat/>
    <w:rsid w:val="00e16f06"/>
    <w:pPr>
      <w:keepLines/>
      <w:numPr>
        <w:ilvl w:val="2"/>
        <w:numId w:val="11"/>
      </w:numPr>
      <w:tabs>
        <w:tab w:val="clear" w:pos="708"/>
        <w:tab w:val="left" w:pos="360" w:leader="none"/>
      </w:tabs>
      <w:suppressAutoHyphens w:val="true"/>
      <w:spacing w:lineRule="auto" w:line="360" w:before="240" w:after="240"/>
      <w:textAlignment w:val="baseline"/>
    </w:pPr>
    <w:rPr>
      <w:b/>
      <w:bCs/>
      <w:color w:val="auto"/>
      <w:szCs w:val="26"/>
    </w:rPr>
  </w:style>
  <w:style w:type="paragraph" w:styleId="45" w:customStyle="1">
    <w:name w:val="Заголовок 4 Приложение"/>
    <w:basedOn w:val="Heading4"/>
    <w:next w:val="Normal"/>
    <w:qFormat/>
    <w:rsid w:val="00e16f06"/>
    <w:pPr>
      <w:keepLines/>
      <w:numPr>
        <w:ilvl w:val="3"/>
        <w:numId w:val="11"/>
      </w:numPr>
      <w:tabs>
        <w:tab w:val="clear" w:pos="708"/>
        <w:tab w:val="left" w:pos="360" w:leader="none"/>
        <w:tab w:val="left" w:pos="993" w:leader="none"/>
      </w:tabs>
      <w:suppressAutoHyphens w:val="true"/>
      <w:spacing w:lineRule="auto" w:line="360" w:before="240" w:after="240"/>
      <w:jc w:val="both"/>
      <w:textAlignment w:val="baseline"/>
    </w:pPr>
    <w:rPr>
      <w:bCs/>
      <w:color w:val="auto"/>
      <w:sz w:val="24"/>
      <w:szCs w:val="26"/>
    </w:rPr>
  </w:style>
  <w:style w:type="paragraph" w:styleId="54" w:customStyle="1">
    <w:name w:val="Заголовок 5 Приложение"/>
    <w:basedOn w:val="45"/>
    <w:next w:val="Normal"/>
    <w:qFormat/>
    <w:rsid w:val="00e16f06"/>
    <w:pPr>
      <w:outlineLvl w:val="4"/>
    </w:pPr>
    <w:rPr/>
  </w:style>
  <w:style w:type="paragraph" w:styleId="137">
    <w:name w:val="Содержимое таблицы1"/>
    <w:basedOn w:val="Normal"/>
    <w:qFormat/>
    <w:pPr/>
    <w:rPr/>
  </w:style>
  <w:style w:type="paragraph" w:styleId="Style34">
    <w:name w:val="Содержимое врезки"/>
    <w:basedOn w:val="Normal"/>
    <w:qFormat/>
    <w:pPr/>
    <w:rPr/>
  </w:style>
  <w:style w:type="paragraph" w:styleId="Style35">
    <w:name w:val="Заголовок таблицы"/>
    <w:basedOn w:val="137"/>
    <w:qFormat/>
    <w:pPr>
      <w:suppressLineNumbers/>
      <w:jc w:val="center"/>
    </w:pPr>
    <w:rPr>
      <w:b/>
      <w:bCs/>
    </w:rPr>
  </w:style>
  <w:style w:type="numbering" w:styleId="Style3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basedOn w:val="a1"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</w:style>
  <w:style w:type="table" w:styleId="-6">
    <w:name w:val="Grid Table 6 Colorful"/>
    <w:basedOn w:val="a1"/>
    <w:pPr>
      <w:spacing w:after="0" w:line="240" w:lineRule="auto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</w:style>
  <w:style w:type="table" w:styleId="-5">
    <w:name w:val="List Table 5 Dark"/>
    <w:basedOn w:val="a1"/>
    <w:pPr>
      <w:spacing w:after="0" w:line="240" w:lineRule="auto"/>
    </w:pPr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</w:style>
  <w:style w:type="table" w:styleId="3f4">
    <w:name w:val="Plain Table 3"/>
    <w:basedOn w:val="a1"/>
    <w:pPr>
      <w:spacing w:after="0" w:line="240" w:lineRule="auto"/>
    </w:p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</w:style>
  <w:style w:type="table" w:styleId="-4">
    <w:name w:val="Grid Table 4"/>
    <w:basedOn w:val="a1"/>
    <w:pPr>
      <w:spacing w:after="0" w:line="240" w:lineRule="auto"/>
    </w:pPr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color="FAC090" w:themeColor="accent6" w:themeTint="98" w:sz="4" w:space="0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</w:style>
  <w:style w:type="table" w:customStyle="1" w:styleId="3f5">
    <w:name w:val="Сетка таблицы3"/>
    <w:basedOn w:val="a1"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-1">
    <w:name w:val="List Table 1 Light"/>
    <w:basedOn w:val="a1"/>
    <w:pPr>
      <w:spacing w:after="0" w:line="240" w:lineRule="auto"/>
    </w:p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color="92CCDC" w:themeColor="accent5" w:themeTint="9a" w:sz="4" w:space="0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</w:style>
  <w:style w:type="table" w:styleId="-2">
    <w:name w:val="Grid Table 2"/>
    <w:basedOn w:val="a1"/>
    <w:pPr>
      <w:spacing w:after="0" w:line="240" w:lineRule="auto"/>
    </w:pPr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sz w:val="20"/>
    </w:r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color="D99695" w:themeColor="accent2" w:themeTint="97" w:sz="4" w:space="0"/>
      </w:tblBorders>
    </w:tblPr>
  </w:style>
  <w:style w:type="table" w:styleId="4a">
    <w:name w:val="Plain Table 4"/>
    <w:basedOn w:val="a1"/>
    <w:pPr>
      <w:spacing w:after="0" w:line="240" w:lineRule="auto"/>
    </w:p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z w:val="20"/>
    </w:rPr>
    <w:tblPr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z w:val="20"/>
    </w:rPr>
    <w:tblPr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color="B2A1C6" w:themeColor="accent4" w:themeTint="9a" w:sz="4" w:space="0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sz w:val="20"/>
    </w:r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sz w:val="20"/>
    </w:r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</w:style>
  <w:style w:type="table" w:customStyle="1" w:styleId="4b">
    <w:name w:val="Сетка таблицы4"/>
    <w:basedOn w:val="a1"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z w:val="20"/>
    </w:rPr>
    <w:tblPr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</w:style>
  <w:style w:type="table" w:styleId="58">
    <w:name w:val="Plain Table 5"/>
    <w:basedOn w:val="a1"/>
    <w:pPr>
      <w:spacing w:after="0" w:line="240" w:lineRule="auto"/>
    </w:p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</w:style>
  <w:style w:type="table" w:styleId="-20">
    <w:name w:val="List Table 2"/>
    <w:basedOn w:val="a1"/>
    <w:pPr>
      <w:spacing w:after="0" w:line="240" w:lineRule="auto"/>
    </w:pPr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</w:style>
  <w:style w:type="table" w:customStyle="1" w:styleId="1ff8">
    <w:name w:val="Сетка таблицы1"/>
    <w:basedOn w:val="a1"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z w:val="20"/>
    </w:rPr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sz w:val="20"/>
    </w:r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</w:style>
  <w:style w:type="table" w:styleId="2f7">
    <w:name w:val="Plain Table 2"/>
    <w:basedOn w:val="a1"/>
    <w:pPr>
      <w:spacing w:after="0" w:line="240" w:lineRule="auto"/>
    </w:pPr>
    <w:tblPr>
      <w:tblBorders>
        <w:top w:val="single" w:color="000000" w:themeColor="text1" w:sz="4" w:space="0"/>
        <w:left w:val="nil"/>
        <w:bottom w:val="single" w:color="000000" w:themeColor="text1" w:sz="4" w:space="0"/>
        <w:right w:val="nil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color="C3D69B" w:themeColor="accent3" w:themeTint="98" w:sz="4" w:space="0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z w:val="20"/>
    </w:rPr>
    <w:tblPr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</w:style>
  <w:style w:type="table" w:styleId="1ff9">
    <w:name w:val="Plain Table 1"/>
    <w:basedOn w:val="a1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</w:style>
  <w:style w:type="table" w:customStyle="1" w:styleId="59">
    <w:name w:val="Сетка таблицы5"/>
    <w:basedOn w:val="a1"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color="4F81BD" w:themeColor="accent1" w:sz="4" w:space="0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color="7F7F7F" w:themeColor="text1" w:themeTint="80" w:sz="4" w:space="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</w:style>
  <w:style w:type="table" w:styleId="-60">
    <w:name w:val="List Table 6 Colorful"/>
    <w:basedOn w:val="a1"/>
    <w:pPr>
      <w:spacing w:after="0" w:line="240" w:lineRule="auto"/>
    </w:pPr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</w:style>
  <w:style w:type="table" w:customStyle="1" w:styleId="Lined-Accent1">
    <w:name w:val="Lined - Accent 1"/>
    <w:basedOn w:val="a1"/>
    <w:pPr>
      <w:spacing w:after="0" w:line="240" w:lineRule="auto"/>
    </w:pPr>
    <w:rPr>
      <w:sz w:val="20"/>
    </w:rPr>
  </w:style>
  <w:style w:type="table" w:styleId="affff1">
    <w:name w:val="Table Grid"/>
    <w:basedOn w:val="a1"/>
    <w:uiPriority w:val="59"/>
    <w:qFormat/>
    <w:pPr>
      <w:spacing w:after="0" w:line="240" w:lineRule="auto"/>
    </w:pPr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sz w:val="20"/>
    </w:r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-50">
    <w:name w:val="Grid Table 5 Dark"/>
    <w:basedOn w:val="a1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z w:val="20"/>
    </w:rPr>
    <w:tblPr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z w:val="20"/>
    </w:rPr>
    <w:tblPr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sz w:val="20"/>
    </w:rPr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header" Target="header7.xml"/><Relationship Id="rId15" Type="http://schemas.openxmlformats.org/officeDocument/2006/relationships/header" Target="header8.xml"/><Relationship Id="rId16" Type="http://schemas.openxmlformats.org/officeDocument/2006/relationships/header" Target="header9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footer" Target="footer9.xml"/><Relationship Id="rId20" Type="http://schemas.openxmlformats.org/officeDocument/2006/relationships/hyperlink" Target="https://reestr.digital.gov.ru/upload/iblock/7f3/272_&#1055;&#1088;&#1080;&#1082;&#1072;&#1079;.pdf" TargetMode="External"/><Relationship Id="rId21" Type="http://schemas.openxmlformats.org/officeDocument/2006/relationships/hyperlink" Target="https://reestr.digital.gov.ru/upload/iblock/7f3/272_&#1055;&#1088;&#1080;&#1082;&#1072;&#1079;.pdf" TargetMode="External"/><Relationship Id="rId22" Type="http://schemas.openxmlformats.org/officeDocument/2006/relationships/header" Target="header10.xml"/><Relationship Id="rId23" Type="http://schemas.openxmlformats.org/officeDocument/2006/relationships/header" Target="header11.xml"/><Relationship Id="rId24" Type="http://schemas.openxmlformats.org/officeDocument/2006/relationships/header" Target="header12.xml"/><Relationship Id="rId25" Type="http://schemas.openxmlformats.org/officeDocument/2006/relationships/footer" Target="footer10.xml"/><Relationship Id="rId26" Type="http://schemas.openxmlformats.org/officeDocument/2006/relationships/footer" Target="footer11.xml"/><Relationship Id="rId27" Type="http://schemas.openxmlformats.org/officeDocument/2006/relationships/footer" Target="footer12.xml"/><Relationship Id="rId28" Type="http://schemas.openxmlformats.org/officeDocument/2006/relationships/numbering" Target="numbering.xml"/><Relationship Id="rId29" Type="http://schemas.openxmlformats.org/officeDocument/2006/relationships/fontTable" Target="fontTable.xml"/><Relationship Id="rId30" Type="http://schemas.openxmlformats.org/officeDocument/2006/relationships/settings" Target="settings.xml"/><Relationship Id="rId3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Application>LibreOffice/25.8.0.4$Linux_X86_64 LibreOffice_project/48f00303701489684e67c38c28aff00cd5929e67</Application>
  <AppVersion>15.0000</AppVersion>
  <Pages>22</Pages>
  <Words>4838</Words>
  <Characters>32659</Characters>
  <CharactersWithSpaces>36590</CharactersWithSpaces>
  <Paragraphs>993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2026-02-27T13:02:00Z</dcterms:created>
  <dc:creator>Глазунова Наталья Евгеньевна</dc:creator>
  <dc:description/>
  <dc:language>ru-RU</dc:language>
  <cp:lastModifiedBy/>
  <dcterms:modified xsi:type="dcterms:W3CDTF">2026-03-02T13:07:42Z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